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10175" w:type="dxa"/>
        <w:tblInd w:w="-252" w:type="dxa"/>
        <w:tblLayout w:type="fixed"/>
        <w:tblLook w:val="0000" w:firstRow="0" w:lastRow="0" w:firstColumn="0" w:lastColumn="0" w:noHBand="0" w:noVBand="0"/>
      </w:tblPr>
      <w:tblGrid>
        <w:gridCol w:w="778"/>
        <w:gridCol w:w="3261"/>
        <w:gridCol w:w="6136"/>
      </w:tblGrid>
      <w:tr w:rsidR="00373CF5" w14:paraId="626B3117" w14:textId="77777777" w:rsidTr="00373CF5">
        <w:trPr>
          <w:trHeight w:val="608"/>
        </w:trPr>
        <w:tc>
          <w:tcPr>
            <w:tcW w:w="4039" w:type="dxa"/>
            <w:gridSpan w:val="2"/>
          </w:tcPr>
          <w:p w14:paraId="56E7B8AD" w14:textId="77777777" w:rsidR="00373CF5" w:rsidRPr="005A1654" w:rsidRDefault="00373CF5" w:rsidP="00373CF5">
            <w:pPr>
              <w:jc w:val="center"/>
            </w:pPr>
            <w:r w:rsidRPr="005A1654">
              <w:t xml:space="preserve">ỦY BAN NHÂN DÂN </w:t>
            </w:r>
          </w:p>
          <w:p w14:paraId="12A4B338" w14:textId="77777777" w:rsidR="00373CF5" w:rsidRPr="005A1654" w:rsidRDefault="00373CF5" w:rsidP="00373CF5">
            <w:pPr>
              <w:jc w:val="center"/>
            </w:pPr>
            <w:r w:rsidRPr="005A1654">
              <w:t>THÀNH PHỐ HỒ CHÍ MINH</w:t>
            </w:r>
          </w:p>
          <w:p w14:paraId="2ADB5A23" w14:textId="537C342C" w:rsidR="00373CF5" w:rsidRPr="00CE6EB3" w:rsidRDefault="00373CF5" w:rsidP="00373CF5">
            <w:pPr>
              <w:jc w:val="center"/>
            </w:pPr>
            <w:r w:rsidRPr="005A1654">
              <w:rPr>
                <w:b/>
                <w:bCs/>
              </w:rPr>
              <w:t xml:space="preserve">SỞ GIÁO DỤC VÀ ĐÀO TẠO </w:t>
            </w:r>
          </w:p>
        </w:tc>
        <w:tc>
          <w:tcPr>
            <w:tcW w:w="6136" w:type="dxa"/>
          </w:tcPr>
          <w:p w14:paraId="621BAC98" w14:textId="77777777" w:rsidR="00373CF5" w:rsidRPr="005A1654" w:rsidRDefault="00373CF5" w:rsidP="00373CF5">
            <w:pPr>
              <w:pStyle w:val="Heading1"/>
              <w:rPr>
                <w:rFonts w:ascii="Times New Roman" w:hAnsi="Times New Roman"/>
                <w:sz w:val="28"/>
                <w:szCs w:val="28"/>
              </w:rPr>
            </w:pPr>
            <w:r w:rsidRPr="005A1654">
              <w:rPr>
                <w:rFonts w:ascii="Times New Roman" w:hAnsi="Times New Roman"/>
                <w:sz w:val="28"/>
                <w:szCs w:val="28"/>
              </w:rPr>
              <w:t>CỘNG HÒA XÃ HỘI CHỦ NGHĨA VIỆT NAM</w:t>
            </w:r>
          </w:p>
          <w:p w14:paraId="5AC8BF99" w14:textId="5AB92F7D" w:rsidR="00373CF5" w:rsidRPr="00373CF5" w:rsidRDefault="00373CF5" w:rsidP="00373CF5">
            <w:pPr>
              <w:keepNext/>
              <w:pBdr>
                <w:top w:val="nil"/>
                <w:left w:val="nil"/>
                <w:bottom w:val="nil"/>
                <w:right w:val="nil"/>
                <w:between w:val="nil"/>
              </w:pBdr>
              <w:jc w:val="center"/>
              <w:rPr>
                <w:b/>
                <w:bCs/>
                <w:color w:val="000000"/>
              </w:rPr>
            </w:pPr>
            <w:r w:rsidRPr="00373CF5">
              <w:rPr>
                <w:b/>
                <w:bCs/>
                <w:noProof/>
                <w:lang w:val="en-GB" w:eastAsia="en-GB"/>
              </w:rPr>
              <mc:AlternateContent>
                <mc:Choice Requires="wps">
                  <w:drawing>
                    <wp:anchor distT="0" distB="0" distL="114300" distR="114300" simplePos="0" relativeHeight="251671552" behindDoc="0" locked="0" layoutInCell="1" allowOverlap="1" wp14:anchorId="0D5FBA4F" wp14:editId="2C7B31C1">
                      <wp:simplePos x="0" y="0"/>
                      <wp:positionH relativeFrom="column">
                        <wp:posOffset>979421</wp:posOffset>
                      </wp:positionH>
                      <wp:positionV relativeFrom="paragraph">
                        <wp:posOffset>205369</wp:posOffset>
                      </wp:positionV>
                      <wp:extent cx="1790772"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E70F"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16.15pt" to="218.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"/>
                  </w:pict>
                </mc:Fallback>
              </mc:AlternateContent>
            </w:r>
            <w:r w:rsidRPr="00373CF5">
              <w:rPr>
                <w:b/>
                <w:bCs/>
              </w:rPr>
              <w:t xml:space="preserve">Độc lập - Tự do - Hạnh phúc                                                    </w:t>
            </w:r>
          </w:p>
        </w:tc>
      </w:tr>
      <w:tr w:rsidR="00373CF5" w14:paraId="1AAECDAA" w14:textId="77777777" w:rsidTr="00373CF5">
        <w:trPr>
          <w:trHeight w:val="736"/>
        </w:trPr>
        <w:tc>
          <w:tcPr>
            <w:tcW w:w="4039" w:type="dxa"/>
            <w:gridSpan w:val="2"/>
          </w:tcPr>
          <w:p w14:paraId="45471765" w14:textId="4828447E" w:rsidR="00373CF5" w:rsidRDefault="00373CF5" w:rsidP="0052717E">
            <w:pPr>
              <w:pStyle w:val="Heading2"/>
              <w:spacing w:before="120" w:after="120"/>
              <w:rPr>
                <w:rFonts w:ascii="Times New Roman" w:hAnsi="Times New Roman"/>
                <w:sz w:val="28"/>
                <w:szCs w:val="28"/>
              </w:rPr>
            </w:pPr>
            <w:r w:rsidRPr="005A1654">
              <w:rPr>
                <w:rFonts w:ascii="Times New Roman" w:hAnsi="Times New Roman"/>
                <w:noProof/>
                <w:sz w:val="28"/>
                <w:szCs w:val="28"/>
                <w:lang w:val="en-GB" w:eastAsia="en-GB"/>
              </w:rPr>
              <mc:AlternateContent>
                <mc:Choice Requires="wps">
                  <w:drawing>
                    <wp:anchor distT="0" distB="0" distL="114300" distR="114300" simplePos="0" relativeHeight="251672576" behindDoc="0" locked="0" layoutInCell="1" allowOverlap="1" wp14:anchorId="6D892AE0" wp14:editId="423EB4B5">
                      <wp:simplePos x="0" y="0"/>
                      <wp:positionH relativeFrom="column">
                        <wp:posOffset>547825</wp:posOffset>
                      </wp:positionH>
                      <wp:positionV relativeFrom="paragraph">
                        <wp:posOffset>9525</wp:posOffset>
                      </wp:positionV>
                      <wp:extent cx="1138687" cy="0"/>
                      <wp:effectExtent l="0" t="0" r="2349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2C3C5" id="Line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pt,.75pt" to="13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"/>
                  </w:pict>
                </mc:Fallback>
              </mc:AlternateContent>
            </w:r>
            <w:r w:rsidRPr="005A1654">
              <w:rPr>
                <w:rFonts w:ascii="Times New Roman" w:hAnsi="Times New Roman"/>
                <w:sz w:val="28"/>
                <w:szCs w:val="28"/>
              </w:rPr>
              <w:t xml:space="preserve">   Số: </w:t>
            </w:r>
            <w:r w:rsidR="00E56BDC">
              <w:rPr>
                <w:rFonts w:ascii="Times New Roman" w:hAnsi="Times New Roman"/>
                <w:b/>
                <w:bCs/>
                <w:color w:val="FF0000"/>
                <w:sz w:val="28"/>
                <w:szCs w:val="28"/>
              </w:rPr>
              <w:t xml:space="preserve">         </w:t>
            </w:r>
            <w:r w:rsidRPr="005A1654">
              <w:rPr>
                <w:rFonts w:ascii="Times New Roman" w:hAnsi="Times New Roman"/>
                <w:sz w:val="28"/>
                <w:szCs w:val="28"/>
              </w:rPr>
              <w:t>/</w:t>
            </w:r>
            <w:r>
              <w:rPr>
                <w:rFonts w:ascii="Times New Roman" w:hAnsi="Times New Roman"/>
                <w:sz w:val="28"/>
                <w:szCs w:val="28"/>
              </w:rPr>
              <w:t>BC-S</w:t>
            </w:r>
            <w:r w:rsidRPr="005A1654">
              <w:rPr>
                <w:rFonts w:ascii="Times New Roman" w:hAnsi="Times New Roman"/>
                <w:sz w:val="28"/>
                <w:szCs w:val="28"/>
              </w:rPr>
              <w:t>GDĐT</w:t>
            </w:r>
          </w:p>
        </w:tc>
        <w:tc>
          <w:tcPr>
            <w:tcW w:w="6136" w:type="dxa"/>
          </w:tcPr>
          <w:p w14:paraId="094E44B7" w14:textId="033F570E" w:rsidR="00373CF5" w:rsidRPr="00373CF5" w:rsidRDefault="00373CF5" w:rsidP="0052717E">
            <w:pPr>
              <w:spacing w:before="120" w:after="120"/>
              <w:rPr>
                <w:i/>
                <w:iCs/>
              </w:rPr>
            </w:pPr>
            <w:r w:rsidRPr="00373CF5">
              <w:rPr>
                <w:i/>
                <w:iCs/>
                <w:spacing w:val="-4"/>
              </w:rPr>
              <w:t xml:space="preserve">Thành phố Hồ Chí Minh, ngày </w:t>
            </w:r>
            <w:r w:rsidR="00E56BDC">
              <w:rPr>
                <w:i/>
                <w:iCs/>
                <w:spacing w:val="-4"/>
              </w:rPr>
              <w:t xml:space="preserve"> </w:t>
            </w:r>
            <w:r w:rsidR="00E56BDC">
              <w:rPr>
                <w:i/>
                <w:iCs/>
                <w:color w:val="FF0000"/>
                <w:spacing w:val="-4"/>
              </w:rPr>
              <w:t xml:space="preserve">  </w:t>
            </w:r>
            <w:r w:rsidRPr="00373CF5">
              <w:rPr>
                <w:b/>
                <w:bCs/>
                <w:i/>
                <w:iCs/>
                <w:color w:val="FF0000"/>
                <w:spacing w:val="-4"/>
              </w:rPr>
              <w:t xml:space="preserve"> </w:t>
            </w:r>
            <w:r w:rsidRPr="00373CF5">
              <w:rPr>
                <w:i/>
                <w:iCs/>
                <w:spacing w:val="-4"/>
              </w:rPr>
              <w:t>tháng</w:t>
            </w:r>
            <w:r w:rsidRPr="00373CF5">
              <w:rPr>
                <w:i/>
                <w:iCs/>
                <w:color w:val="FF0000"/>
                <w:spacing w:val="-4"/>
              </w:rPr>
              <w:t xml:space="preserve"> </w:t>
            </w:r>
            <w:r w:rsidR="00E56BDC">
              <w:rPr>
                <w:i/>
                <w:iCs/>
                <w:color w:val="FF0000"/>
                <w:spacing w:val="-4"/>
              </w:rPr>
              <w:t xml:space="preserve">   </w:t>
            </w:r>
            <w:r w:rsidRPr="00373CF5">
              <w:rPr>
                <w:i/>
                <w:iCs/>
                <w:color w:val="FF0000"/>
                <w:spacing w:val="-4"/>
              </w:rPr>
              <w:t xml:space="preserve"> </w:t>
            </w:r>
            <w:r w:rsidRPr="00373CF5">
              <w:rPr>
                <w:i/>
                <w:iCs/>
                <w:spacing w:val="-4"/>
              </w:rPr>
              <w:t>năm 2024</w:t>
            </w:r>
            <w:r w:rsidRPr="00373CF5">
              <w:rPr>
                <w:i/>
                <w:iCs/>
              </w:rPr>
              <w:t xml:space="preserve">        </w:t>
            </w:r>
          </w:p>
        </w:tc>
      </w:tr>
      <w:tr w:rsidR="005D096E" w14:paraId="0B13765B" w14:textId="77777777" w:rsidTr="00373CF5">
        <w:trPr>
          <w:trHeight w:val="368"/>
        </w:trPr>
        <w:tc>
          <w:tcPr>
            <w:tcW w:w="778" w:type="dxa"/>
          </w:tcPr>
          <w:p w14:paraId="3F14BA8A" w14:textId="77777777" w:rsidR="005D096E" w:rsidRDefault="005D096E">
            <w:pPr>
              <w:widowControl w:val="0"/>
              <w:pBdr>
                <w:top w:val="nil"/>
                <w:left w:val="nil"/>
                <w:bottom w:val="nil"/>
                <w:right w:val="nil"/>
                <w:between w:val="nil"/>
              </w:pBdr>
              <w:spacing w:line="276" w:lineRule="auto"/>
            </w:pPr>
          </w:p>
        </w:tc>
        <w:tc>
          <w:tcPr>
            <w:tcW w:w="9397" w:type="dxa"/>
            <w:gridSpan w:val="2"/>
          </w:tcPr>
          <w:p w14:paraId="19451A6D" w14:textId="4436D66B" w:rsidR="005D096E" w:rsidRDefault="004219A4" w:rsidP="00E56BDC">
            <w:pPr>
              <w:shd w:val="clear" w:color="auto" w:fill="FFFFFF"/>
              <w:spacing w:before="360" w:line="252" w:lineRule="auto"/>
              <w:jc w:val="center"/>
              <w:rPr>
                <w:b/>
              </w:rPr>
            </w:pPr>
            <w:r>
              <w:rPr>
                <w:b/>
              </w:rPr>
              <w:t xml:space="preserve">BÁO CÁO </w:t>
            </w:r>
            <w:r>
              <w:rPr>
                <w:b/>
              </w:rPr>
              <w:br/>
            </w:r>
            <w:r w:rsidR="00B03B79" w:rsidRPr="00B03B79">
              <w:rPr>
                <w:b/>
              </w:rPr>
              <w:t>Về rà soát các văn bản quy phạm pháp luật liên quan đến</w:t>
            </w:r>
            <w:r w:rsidR="009105D0">
              <w:rPr>
                <w:b/>
              </w:rPr>
              <w:t xml:space="preserve"> dự thảo </w:t>
            </w:r>
            <w:r w:rsidR="00B03B79">
              <w:rPr>
                <w:b/>
              </w:rPr>
              <w:br/>
            </w:r>
            <w:r w:rsidR="009105D0" w:rsidRPr="009105D0">
              <w:rPr>
                <w:b/>
              </w:rPr>
              <w:t xml:space="preserve">Nghị quyết </w:t>
            </w:r>
            <w:r w:rsidR="00E56BDC" w:rsidRPr="00E56BDC">
              <w:rPr>
                <w:b/>
              </w:rPr>
              <w:t xml:space="preserve">về chính sách đặc thù hỗ trợ học phí cho học sinh trung học </w:t>
            </w:r>
            <w:r w:rsidR="00E56BDC">
              <w:rPr>
                <w:b/>
              </w:rPr>
              <w:br/>
            </w:r>
            <w:r w:rsidR="00E56BDC" w:rsidRPr="00E56BDC">
              <w:rPr>
                <w:b/>
              </w:rPr>
              <w:t>cơ sở công lập, ngoài công lập và học viên giáo dục thường xuyên trung học cơ sở trên địa bàn Thành phố Hồ Chí Minh năm học 2024 – 2025</w:t>
            </w:r>
          </w:p>
        </w:tc>
      </w:tr>
      <w:tr w:rsidR="005D096E" w14:paraId="4DC39D43" w14:textId="77777777" w:rsidTr="00373CF5">
        <w:trPr>
          <w:trHeight w:val="368"/>
        </w:trPr>
        <w:tc>
          <w:tcPr>
            <w:tcW w:w="778" w:type="dxa"/>
          </w:tcPr>
          <w:p w14:paraId="140B6E0A" w14:textId="77777777" w:rsidR="005D096E" w:rsidRDefault="005D096E">
            <w:pPr>
              <w:widowControl w:val="0"/>
              <w:pBdr>
                <w:top w:val="nil"/>
                <w:left w:val="nil"/>
                <w:bottom w:val="nil"/>
                <w:right w:val="nil"/>
                <w:between w:val="nil"/>
              </w:pBdr>
              <w:spacing w:line="276" w:lineRule="auto"/>
              <w:rPr>
                <w:i/>
              </w:rPr>
            </w:pPr>
          </w:p>
        </w:tc>
        <w:tc>
          <w:tcPr>
            <w:tcW w:w="9397" w:type="dxa"/>
            <w:gridSpan w:val="2"/>
          </w:tcPr>
          <w:p w14:paraId="1589425D" w14:textId="29140764" w:rsidR="005D096E" w:rsidRDefault="00C97857">
            <w:pPr>
              <w:shd w:val="clear" w:color="auto" w:fill="FFFFFF"/>
              <w:spacing w:after="240" w:line="180" w:lineRule="auto"/>
              <w:jc w:val="center"/>
              <w:rPr>
                <w:b/>
                <w:vertAlign w:val="superscript"/>
              </w:rPr>
            </w:pPr>
            <w:r>
              <w:rPr>
                <w:b/>
                <w:vertAlign w:val="superscript"/>
              </w:rPr>
              <w:t>_____________________</w:t>
            </w:r>
          </w:p>
        </w:tc>
      </w:tr>
    </w:tbl>
    <w:p w14:paraId="0DAF4928" w14:textId="09D6987B" w:rsidR="00C95499" w:rsidRDefault="00C95499" w:rsidP="006E64BD">
      <w:pPr>
        <w:pBdr>
          <w:top w:val="nil"/>
          <w:left w:val="nil"/>
          <w:bottom w:val="nil"/>
          <w:right w:val="nil"/>
          <w:between w:val="nil"/>
        </w:pBdr>
        <w:spacing w:before="120" w:after="120"/>
        <w:ind w:firstLine="720"/>
        <w:jc w:val="both"/>
        <w:rPr>
          <w:color w:val="000000"/>
        </w:rPr>
      </w:pPr>
      <w:r w:rsidRPr="00C95499">
        <w:rPr>
          <w:color w:val="000000"/>
        </w:rPr>
        <w:t>Thực hiện quy định của Luật Ban hành văn bản quy phạm pháp luật năm 2015 (được sửa đổi, bổ sung năm 2020),</w:t>
      </w:r>
      <w:r>
        <w:rPr>
          <w:color w:val="000000"/>
        </w:rPr>
        <w:t xml:space="preserve"> </w:t>
      </w:r>
      <w:r w:rsidR="007718E5">
        <w:rPr>
          <w:color w:val="000000"/>
          <w:highlight w:val="white"/>
        </w:rPr>
        <w:t>Sở Giáo dục và Đào tạo</w:t>
      </w:r>
      <w:r>
        <w:rPr>
          <w:color w:val="000000"/>
          <w:highlight w:val="white"/>
        </w:rPr>
        <w:t xml:space="preserve"> </w:t>
      </w:r>
      <w:r w:rsidRPr="00C95499">
        <w:rPr>
          <w:color w:val="000000"/>
        </w:rPr>
        <w:t xml:space="preserve">đã tiến hành rà soát, hệ thống văn bản quy phạm pháp luật liên quan đến </w:t>
      </w:r>
      <w:r w:rsidRPr="00042442">
        <w:rPr>
          <w:color w:val="000000"/>
        </w:rPr>
        <w:t xml:space="preserve">dự thảo Nghị quyết </w:t>
      </w:r>
      <w:r w:rsidR="006E64BD" w:rsidRPr="006E64BD">
        <w:rPr>
          <w:color w:val="000000"/>
        </w:rPr>
        <w:t>về chính sách đặc thù hỗ trợ học phí cho học sinh trung học cơ sở công lập, ngoài công lập và học viên giáo dục thường xuyên trung học cơ sở trên địa bàn Thành phố Hồ Chí Minh năm học 2024 – 2025</w:t>
      </w:r>
      <w:r>
        <w:rPr>
          <w:color w:val="000000"/>
        </w:rPr>
        <w:t xml:space="preserve">. </w:t>
      </w:r>
      <w:r w:rsidRPr="00C95499">
        <w:rPr>
          <w:color w:val="000000"/>
        </w:rPr>
        <w:t>Kết quả rà soát như sau:</w:t>
      </w:r>
    </w:p>
    <w:p w14:paraId="71C3BDC2" w14:textId="3028A8D8" w:rsidR="005D096E" w:rsidRDefault="00C97857" w:rsidP="006D08E9">
      <w:pPr>
        <w:pBdr>
          <w:top w:val="nil"/>
          <w:left w:val="nil"/>
          <w:bottom w:val="nil"/>
          <w:right w:val="nil"/>
          <w:between w:val="nil"/>
        </w:pBdr>
        <w:shd w:val="clear" w:color="auto" w:fill="FFFFFF"/>
        <w:spacing w:before="120" w:after="120"/>
        <w:ind w:firstLine="567"/>
        <w:jc w:val="both"/>
        <w:rPr>
          <w:b/>
          <w:color w:val="000000"/>
        </w:rPr>
      </w:pPr>
      <w:r>
        <w:rPr>
          <w:b/>
          <w:color w:val="000000"/>
        </w:rPr>
        <w:t>I. </w:t>
      </w:r>
      <w:r w:rsidR="00C95499" w:rsidRPr="00C95499">
        <w:rPr>
          <w:b/>
          <w:color w:val="000000"/>
        </w:rPr>
        <w:t>TỔ CHỨC THỰC HIỆN RÀ SOÁT</w:t>
      </w:r>
    </w:p>
    <w:p w14:paraId="7D53A738" w14:textId="3E14003B" w:rsidR="005D096E" w:rsidRDefault="00C97857" w:rsidP="006D08E9">
      <w:pPr>
        <w:widowControl w:val="0"/>
        <w:pBdr>
          <w:top w:val="nil"/>
          <w:left w:val="nil"/>
          <w:bottom w:val="nil"/>
          <w:right w:val="nil"/>
          <w:between w:val="nil"/>
        </w:pBdr>
        <w:tabs>
          <w:tab w:val="left" w:pos="851"/>
        </w:tabs>
        <w:spacing w:before="120" w:after="120"/>
        <w:ind w:firstLine="567"/>
        <w:jc w:val="both"/>
        <w:rPr>
          <w:b/>
          <w:color w:val="000000"/>
        </w:rPr>
      </w:pPr>
      <w:r>
        <w:rPr>
          <w:b/>
          <w:color w:val="000000"/>
        </w:rPr>
        <w:t xml:space="preserve">1. </w:t>
      </w:r>
      <w:r w:rsidR="00C95499" w:rsidRPr="00C95499">
        <w:rPr>
          <w:b/>
          <w:color w:val="000000"/>
        </w:rPr>
        <w:t>Mục đích, yêu cầu rà soát</w:t>
      </w:r>
    </w:p>
    <w:p w14:paraId="77E0741F" w14:textId="63FE2CAB" w:rsidR="00476821" w:rsidRDefault="00476821" w:rsidP="006D08E9">
      <w:pPr>
        <w:widowControl w:val="0"/>
        <w:spacing w:before="120" w:after="120"/>
        <w:ind w:right="-142" w:firstLine="707"/>
        <w:jc w:val="both"/>
      </w:pPr>
      <w:r w:rsidRPr="00476821">
        <w:t xml:space="preserve">Qua rà soát nhằm phát hiện các quy định không còn phù hợp với </w:t>
      </w:r>
      <w:r>
        <w:t xml:space="preserve">quy định </w:t>
      </w:r>
      <w:r w:rsidR="004E4338" w:rsidRPr="004E4338">
        <w:t>về chính sách đặc thù hỗ trợ học phí cho học sinh trung học cơ sở công lập, ngoài công lập và học viên giáo dục thường xuyên trung học cơ sở trên địa bàn Thành phố Hồ Chí Minh năm học 2024 – 2025</w:t>
      </w:r>
      <w:r w:rsidRPr="00476821">
        <w:t xml:space="preserve">, chú trọng các nội dung quy định </w:t>
      </w:r>
      <w:r w:rsidR="008B5EFF">
        <w:t xml:space="preserve">đã hết hiệu lực hoặc không còn phù hợp </w:t>
      </w:r>
      <w:r w:rsidR="008B5EFF" w:rsidRPr="008B5EFF">
        <w:t>tình hình phát triển kinh tế - xã hội</w:t>
      </w:r>
      <w:r w:rsidRPr="00476821">
        <w:t xml:space="preserve">, từ đó, kiến nghị </w:t>
      </w:r>
      <w:r w:rsidR="008B5EFF">
        <w:t>Hội đồng</w:t>
      </w:r>
      <w:r w:rsidRPr="00476821">
        <w:t xml:space="preserve"> nhân dân Thành phố xem xét </w:t>
      </w:r>
      <w:r w:rsidR="008B5EFF">
        <w:t>ban hành chính sách</w:t>
      </w:r>
      <w:r w:rsidRPr="00476821">
        <w:t xml:space="preserve"> sửa đổi, điều chỉnh, bãi bỏ cho phù hợp</w:t>
      </w:r>
      <w:r w:rsidR="008B5EFF">
        <w:t>.</w:t>
      </w:r>
    </w:p>
    <w:p w14:paraId="7B792292" w14:textId="5D151E17" w:rsidR="005D096E" w:rsidRDefault="00C97857" w:rsidP="006D08E9">
      <w:pPr>
        <w:widowControl w:val="0"/>
        <w:pBdr>
          <w:top w:val="nil"/>
          <w:left w:val="nil"/>
          <w:bottom w:val="nil"/>
          <w:right w:val="nil"/>
          <w:between w:val="nil"/>
        </w:pBdr>
        <w:tabs>
          <w:tab w:val="left" w:pos="851"/>
        </w:tabs>
        <w:spacing w:before="120" w:after="120"/>
        <w:ind w:firstLine="567"/>
        <w:jc w:val="both"/>
        <w:rPr>
          <w:b/>
          <w:color w:val="000000"/>
        </w:rPr>
      </w:pPr>
      <w:r>
        <w:rPr>
          <w:b/>
          <w:color w:val="000000"/>
        </w:rPr>
        <w:t xml:space="preserve">2. </w:t>
      </w:r>
      <w:r w:rsidR="00C95499" w:rsidRPr="00C95499">
        <w:rPr>
          <w:b/>
          <w:color w:val="000000"/>
        </w:rPr>
        <w:t>Phạm vi, nội dung, đối tượng rà soát</w:t>
      </w:r>
    </w:p>
    <w:p w14:paraId="40F3DB02" w14:textId="74453895" w:rsidR="00476821" w:rsidRDefault="00476821" w:rsidP="006D08E9">
      <w:pPr>
        <w:widowControl w:val="0"/>
        <w:pBdr>
          <w:top w:val="nil"/>
          <w:left w:val="nil"/>
          <w:bottom w:val="nil"/>
          <w:right w:val="nil"/>
          <w:between w:val="nil"/>
        </w:pBdr>
        <w:spacing w:before="120" w:after="120"/>
        <w:ind w:firstLine="567"/>
        <w:jc w:val="both"/>
        <w:rPr>
          <w:color w:val="000000"/>
        </w:rPr>
      </w:pPr>
      <w:r>
        <w:rPr>
          <w:color w:val="000000"/>
        </w:rPr>
        <w:tab/>
      </w:r>
      <w:r w:rsidRPr="00476821">
        <w:rPr>
          <w:color w:val="000000"/>
        </w:rPr>
        <w:t xml:space="preserve">Toàn bộ các văn bản quy phạm pháp luật của </w:t>
      </w:r>
      <w:r w:rsidR="0011000E">
        <w:rPr>
          <w:color w:val="000000"/>
        </w:rPr>
        <w:t xml:space="preserve">Chính phủ, </w:t>
      </w:r>
      <w:r w:rsidR="00051B34">
        <w:rPr>
          <w:color w:val="000000"/>
        </w:rPr>
        <w:t xml:space="preserve">Bộ trưởng, </w:t>
      </w:r>
      <w:r w:rsidRPr="00476821">
        <w:rPr>
          <w:color w:val="000000"/>
        </w:rPr>
        <w:t xml:space="preserve">Hội đồng nhân dân, Ủy ban nhân dân Thành phố còn hiệu lực có quy định </w:t>
      </w:r>
      <w:r w:rsidR="004E4338" w:rsidRPr="004E4338">
        <w:rPr>
          <w:color w:val="000000"/>
        </w:rPr>
        <w:t>về chính sách đặc thù hỗ trợ học phí cho học sinh trung học cơ sở công lập, ngoài công lập và học viên giáo dục thường xuyên trung học cơ sở trên địa bàn Thành phố Hồ Chí Minh năm học 2024 – 2025</w:t>
      </w:r>
      <w:r w:rsidRPr="00476821">
        <w:rPr>
          <w:color w:val="000000"/>
        </w:rPr>
        <w:t>.</w:t>
      </w:r>
    </w:p>
    <w:p w14:paraId="60919FF6" w14:textId="27BC5FFB" w:rsidR="005D096E" w:rsidRDefault="00C97857" w:rsidP="006D08E9">
      <w:pPr>
        <w:pBdr>
          <w:top w:val="nil"/>
          <w:left w:val="nil"/>
          <w:bottom w:val="nil"/>
          <w:right w:val="nil"/>
          <w:between w:val="nil"/>
        </w:pBdr>
        <w:shd w:val="clear" w:color="auto" w:fill="FFFFFF"/>
        <w:spacing w:before="120" w:after="120"/>
        <w:ind w:firstLine="567"/>
        <w:jc w:val="both"/>
        <w:rPr>
          <w:b/>
          <w:color w:val="000000"/>
        </w:rPr>
      </w:pPr>
      <w:r>
        <w:rPr>
          <w:b/>
          <w:color w:val="000000"/>
        </w:rPr>
        <w:t>II. </w:t>
      </w:r>
      <w:r w:rsidR="00C95499" w:rsidRPr="00C95499">
        <w:rPr>
          <w:b/>
          <w:color w:val="000000"/>
        </w:rPr>
        <w:t>KẾT QUẢ RÀ SOÁT</w:t>
      </w:r>
    </w:p>
    <w:p w14:paraId="674C219B" w14:textId="6EC1D0AC" w:rsidR="00C95499" w:rsidRDefault="00C95499" w:rsidP="006D08E9">
      <w:pPr>
        <w:pBdr>
          <w:top w:val="nil"/>
          <w:left w:val="nil"/>
          <w:bottom w:val="nil"/>
          <w:right w:val="nil"/>
          <w:between w:val="nil"/>
        </w:pBdr>
        <w:shd w:val="clear" w:color="auto" w:fill="FFFFFF"/>
        <w:tabs>
          <w:tab w:val="left" w:pos="851"/>
        </w:tabs>
        <w:spacing w:before="120" w:after="120"/>
        <w:ind w:left="567"/>
        <w:jc w:val="both"/>
        <w:rPr>
          <w:b/>
          <w:color w:val="000000"/>
        </w:rPr>
      </w:pPr>
      <w:r>
        <w:rPr>
          <w:b/>
          <w:color w:val="000000"/>
        </w:rPr>
        <w:t xml:space="preserve">1. </w:t>
      </w:r>
      <w:r w:rsidRPr="00C95499">
        <w:rPr>
          <w:b/>
          <w:color w:val="000000"/>
        </w:rPr>
        <w:t xml:space="preserve">Kết quả chung </w:t>
      </w:r>
    </w:p>
    <w:p w14:paraId="3B9B418B" w14:textId="6847799D" w:rsidR="00476821" w:rsidRDefault="00476821" w:rsidP="006D08E9">
      <w:pPr>
        <w:widowControl w:val="0"/>
        <w:pBdr>
          <w:top w:val="nil"/>
          <w:left w:val="nil"/>
          <w:bottom w:val="nil"/>
          <w:right w:val="nil"/>
          <w:between w:val="nil"/>
        </w:pBdr>
        <w:tabs>
          <w:tab w:val="left" w:pos="851"/>
        </w:tabs>
        <w:spacing w:before="120" w:after="120"/>
        <w:ind w:firstLine="567"/>
        <w:jc w:val="both"/>
        <w:rPr>
          <w:bCs/>
          <w:color w:val="000000"/>
        </w:rPr>
      </w:pPr>
      <w:r w:rsidRPr="00476821">
        <w:rPr>
          <w:bCs/>
          <w:color w:val="000000"/>
        </w:rPr>
        <w:t xml:space="preserve">Qua rà soát xác định được </w:t>
      </w:r>
      <w:r w:rsidR="00A90612">
        <w:rPr>
          <w:bCs/>
          <w:color w:val="000000"/>
        </w:rPr>
        <w:t>0</w:t>
      </w:r>
      <w:r w:rsidR="001C4387">
        <w:rPr>
          <w:bCs/>
          <w:color w:val="000000"/>
        </w:rPr>
        <w:t>2</w:t>
      </w:r>
      <w:r w:rsidRPr="00476821">
        <w:rPr>
          <w:bCs/>
          <w:color w:val="000000"/>
        </w:rPr>
        <w:t xml:space="preserve"> văn bản quy phạm pháp luật có liên quan đến </w:t>
      </w:r>
      <w:r w:rsidR="00076193" w:rsidRPr="00076193">
        <w:rPr>
          <w:bCs/>
          <w:color w:val="000000"/>
        </w:rPr>
        <w:t xml:space="preserve">dự thảo Nghị quyết </w:t>
      </w:r>
      <w:r w:rsidR="004E4338" w:rsidRPr="004E4338">
        <w:rPr>
          <w:bCs/>
          <w:color w:val="000000"/>
        </w:rPr>
        <w:t>về chính sách đặc thù hỗ trợ học phí cho học sinh trung học cơ sở công lập, ngoài công lập và học viên giáo dục thường xuyên trung học cơ sở trên địa bàn Thành phố Hồ Chí Minh năm học 2024 – 2025</w:t>
      </w:r>
      <w:r w:rsidRPr="00476821">
        <w:rPr>
          <w:bCs/>
          <w:color w:val="000000"/>
        </w:rPr>
        <w:t>, trong đó:</w:t>
      </w:r>
    </w:p>
    <w:p w14:paraId="4E2E4989" w14:textId="43C6AFC4" w:rsidR="00476821" w:rsidRDefault="00476821" w:rsidP="006D08E9">
      <w:pPr>
        <w:widowControl w:val="0"/>
        <w:pBdr>
          <w:top w:val="nil"/>
          <w:left w:val="nil"/>
          <w:bottom w:val="nil"/>
          <w:right w:val="nil"/>
          <w:between w:val="nil"/>
        </w:pBdr>
        <w:tabs>
          <w:tab w:val="left" w:pos="851"/>
        </w:tabs>
        <w:spacing w:before="120" w:after="120"/>
        <w:ind w:firstLine="567"/>
        <w:jc w:val="both"/>
        <w:rPr>
          <w:bCs/>
          <w:color w:val="000000"/>
        </w:rPr>
      </w:pPr>
      <w:r w:rsidRPr="00476821">
        <w:rPr>
          <w:bCs/>
          <w:color w:val="000000"/>
        </w:rPr>
        <w:t xml:space="preserve">- Nghị quyết của Hội đồng nhân dân Thành phố: </w:t>
      </w:r>
      <w:r w:rsidR="00285B5D">
        <w:rPr>
          <w:bCs/>
          <w:color w:val="000000"/>
        </w:rPr>
        <w:t>02</w:t>
      </w:r>
      <w:r w:rsidRPr="00476821">
        <w:rPr>
          <w:bCs/>
          <w:color w:val="000000"/>
        </w:rPr>
        <w:t xml:space="preserve"> văn bản.</w:t>
      </w:r>
    </w:p>
    <w:p w14:paraId="4D70B1FF" w14:textId="77777777" w:rsidR="001C4387" w:rsidRPr="00476821" w:rsidRDefault="001C4387" w:rsidP="006D08E9">
      <w:pPr>
        <w:widowControl w:val="0"/>
        <w:pBdr>
          <w:top w:val="nil"/>
          <w:left w:val="nil"/>
          <w:bottom w:val="nil"/>
          <w:right w:val="nil"/>
          <w:between w:val="nil"/>
        </w:pBdr>
        <w:tabs>
          <w:tab w:val="left" w:pos="851"/>
        </w:tabs>
        <w:spacing w:before="120" w:after="120"/>
        <w:ind w:firstLine="567"/>
        <w:jc w:val="both"/>
        <w:rPr>
          <w:bCs/>
          <w:color w:val="000000"/>
        </w:rPr>
      </w:pPr>
    </w:p>
    <w:p w14:paraId="75FF23FD" w14:textId="48B3D1ED" w:rsidR="005D096E" w:rsidRDefault="007F2278" w:rsidP="006D08E9">
      <w:pPr>
        <w:widowControl w:val="0"/>
        <w:pBdr>
          <w:top w:val="nil"/>
          <w:left w:val="nil"/>
          <w:bottom w:val="nil"/>
          <w:right w:val="nil"/>
          <w:between w:val="nil"/>
        </w:pBdr>
        <w:spacing w:before="120" w:after="120"/>
        <w:ind w:firstLine="720"/>
        <w:jc w:val="both"/>
        <w:rPr>
          <w:b/>
          <w:color w:val="000000"/>
        </w:rPr>
      </w:pPr>
      <w:r>
        <w:rPr>
          <w:b/>
          <w:color w:val="000000"/>
        </w:rPr>
        <w:lastRenderedPageBreak/>
        <w:t>2</w:t>
      </w:r>
      <w:r w:rsidR="00C97857">
        <w:rPr>
          <w:b/>
          <w:color w:val="000000"/>
        </w:rPr>
        <w:t xml:space="preserve">. </w:t>
      </w:r>
      <w:r w:rsidR="00C95499">
        <w:rPr>
          <w:b/>
          <w:color w:val="000000"/>
        </w:rPr>
        <w:t>K</w:t>
      </w:r>
      <w:r w:rsidR="00C95499" w:rsidRPr="00C95499">
        <w:rPr>
          <w:b/>
          <w:color w:val="000000"/>
        </w:rPr>
        <w:t>ết quả cụ thể</w:t>
      </w:r>
    </w:p>
    <w:p w14:paraId="79309FF9" w14:textId="77777777" w:rsidR="00697E6C" w:rsidRDefault="000C4279" w:rsidP="00697E6C">
      <w:pPr>
        <w:pBdr>
          <w:top w:val="nil"/>
          <w:left w:val="nil"/>
          <w:bottom w:val="nil"/>
          <w:right w:val="nil"/>
          <w:between w:val="nil"/>
        </w:pBdr>
        <w:shd w:val="clear" w:color="auto" w:fill="FFFFFF"/>
        <w:spacing w:before="120" w:after="120"/>
        <w:ind w:firstLine="567"/>
        <w:jc w:val="both"/>
        <w:rPr>
          <w:bCs/>
          <w:color w:val="000000"/>
        </w:rPr>
      </w:pPr>
      <w:r w:rsidRPr="000C4279">
        <w:rPr>
          <w:bCs/>
          <w:color w:val="000000"/>
        </w:rPr>
        <w:t xml:space="preserve">Quà rà soát, </w:t>
      </w:r>
      <w:r w:rsidR="007718E5">
        <w:rPr>
          <w:bCs/>
          <w:color w:val="000000"/>
        </w:rPr>
        <w:t>Sở Giáo dục và Đào tạo</w:t>
      </w:r>
      <w:r w:rsidRPr="000C4279">
        <w:rPr>
          <w:bCs/>
          <w:color w:val="000000"/>
        </w:rPr>
        <w:t xml:space="preserve"> </w:t>
      </w:r>
      <w:r w:rsidR="001C4387">
        <w:rPr>
          <w:bCs/>
          <w:color w:val="000000"/>
        </w:rPr>
        <w:t>nhận thấy</w:t>
      </w:r>
      <w:r w:rsidRPr="000C4279">
        <w:rPr>
          <w:bCs/>
          <w:color w:val="000000"/>
        </w:rPr>
        <w:t xml:space="preserve"> </w:t>
      </w:r>
      <w:r w:rsidR="00697E6C" w:rsidRPr="00697E6C">
        <w:rPr>
          <w:bCs/>
          <w:color w:val="000000"/>
        </w:rPr>
        <w:t>dự thảo Nghị quyết về chính sách đặc thù hỗ trợ học phí cho học sinh trung học cơ sở công lập, ngoài công lập và học viên giáo dục thường xuyên trung học cơ sở trên địa bàn Thành phố Hồ Chí Minh năm học 2024 – 2025</w:t>
      </w:r>
      <w:r w:rsidR="00697E6C">
        <w:rPr>
          <w:bCs/>
          <w:color w:val="000000"/>
        </w:rPr>
        <w:t xml:space="preserve"> phù hợp với các quy định tại các văn bản quy phạm pháp luật hiện hành, cụ thể:</w:t>
      </w:r>
    </w:p>
    <w:p w14:paraId="28CDB0B7" w14:textId="3EA2F8E6" w:rsidR="00AA4FB8" w:rsidRDefault="00697E6C" w:rsidP="00697E6C">
      <w:pPr>
        <w:pBdr>
          <w:top w:val="nil"/>
          <w:left w:val="nil"/>
          <w:bottom w:val="nil"/>
          <w:right w:val="nil"/>
          <w:between w:val="nil"/>
        </w:pBdr>
        <w:shd w:val="clear" w:color="auto" w:fill="FFFFFF"/>
        <w:spacing w:before="120" w:after="120"/>
        <w:ind w:firstLine="567"/>
        <w:jc w:val="both"/>
        <w:rPr>
          <w:bCs/>
          <w:color w:val="000000"/>
        </w:rPr>
      </w:pPr>
      <w:r>
        <w:rPr>
          <w:bCs/>
          <w:color w:val="000000"/>
        </w:rPr>
        <w:t xml:space="preserve">- </w:t>
      </w:r>
      <w:r w:rsidRPr="00697E6C">
        <w:rPr>
          <w:bCs/>
          <w:color w:val="000000"/>
        </w:rPr>
        <w:t>Nghị quyết số 36/2023/NQ-HĐND ngày 08/12/2023 của Hội đồng nhân dân Thành phố</w:t>
      </w:r>
      <w:r>
        <w:rPr>
          <w:bCs/>
          <w:color w:val="000000"/>
        </w:rPr>
        <w:t xml:space="preserve"> </w:t>
      </w:r>
      <w:r w:rsidRPr="00697E6C">
        <w:rPr>
          <w:bCs/>
          <w:color w:val="000000"/>
        </w:rPr>
        <w:t>về chính sách đặc thù hỗ trợ học phí cho trẻ mầm non, học sinh phổ thông công lập, ngoài công lập và học viên giáo dục thường xuyên trên địa bàn Thành phố Hồ Chí Minh năm học 2023 – 2024</w:t>
      </w:r>
      <w:r>
        <w:rPr>
          <w:bCs/>
          <w:color w:val="000000"/>
        </w:rPr>
        <w:t xml:space="preserve"> đã hết </w:t>
      </w:r>
      <w:r w:rsidR="00A43885">
        <w:rPr>
          <w:bCs/>
          <w:color w:val="000000"/>
        </w:rPr>
        <w:t>thời gian thực hiện</w:t>
      </w:r>
      <w:r>
        <w:rPr>
          <w:bCs/>
          <w:color w:val="000000"/>
        </w:rPr>
        <w:t>.</w:t>
      </w:r>
    </w:p>
    <w:p w14:paraId="25BF6DC3" w14:textId="77777777" w:rsidR="00697E6C" w:rsidRDefault="00697E6C" w:rsidP="00697E6C">
      <w:pPr>
        <w:shd w:val="clear" w:color="auto" w:fill="FFFFFF"/>
        <w:spacing w:before="120" w:after="120"/>
        <w:ind w:left="-2" w:firstLine="722"/>
        <w:jc w:val="both"/>
      </w:pPr>
      <w:r>
        <w:rPr>
          <w:bCs/>
          <w:color w:val="000000"/>
        </w:rPr>
        <w:t xml:space="preserve">- Mức hỗ trợ học phí tại </w:t>
      </w:r>
      <w:r w:rsidRPr="00697E6C">
        <w:rPr>
          <w:bCs/>
          <w:color w:val="000000"/>
        </w:rPr>
        <w:t>dự thảo Nghị quyết</w:t>
      </w:r>
      <w:r>
        <w:rPr>
          <w:bCs/>
          <w:color w:val="000000"/>
        </w:rPr>
        <w:t xml:space="preserve"> </w:t>
      </w:r>
      <w:r w:rsidRPr="00697E6C">
        <w:rPr>
          <w:bCs/>
          <w:color w:val="000000"/>
        </w:rPr>
        <w:t>về chính sách đặc thù hỗ trợ học phí cho học sinh trung học cơ sở công lập, ngoài công lập và học viên giáo dục thường xuyên trung học cơ sở trên địa bàn Thành phố Hồ Chí Minh năm học 2024 – 2025</w:t>
      </w:r>
      <w:r>
        <w:rPr>
          <w:bCs/>
          <w:color w:val="000000"/>
        </w:rPr>
        <w:t xml:space="preserve"> phù hợp với mức học phí quy định tại </w:t>
      </w:r>
      <w:r w:rsidRPr="008C2297">
        <w:t xml:space="preserve">Nghị quyết số </w:t>
      </w:r>
      <w:r>
        <w:t>12</w:t>
      </w:r>
      <w:r w:rsidRPr="008C2297">
        <w:t>/202</w:t>
      </w:r>
      <w:r>
        <w:t>4</w:t>
      </w:r>
      <w:r w:rsidRPr="008C2297">
        <w:t xml:space="preserve">/NQ-HĐND ngày </w:t>
      </w:r>
      <w:r>
        <w:t xml:space="preserve">16 </w:t>
      </w:r>
      <w:r w:rsidRPr="008C2297">
        <w:t xml:space="preserve">tháng </w:t>
      </w:r>
      <w:r>
        <w:t>7</w:t>
      </w:r>
      <w:r w:rsidRPr="008C2297">
        <w:t xml:space="preserve"> năm 202</w:t>
      </w:r>
      <w:r>
        <w:t>4</w:t>
      </w:r>
      <w:r w:rsidRPr="008C2297">
        <w:t xml:space="preserve"> của Hội đồng nhân dân </w:t>
      </w:r>
      <w:r>
        <w:t>T</w:t>
      </w:r>
      <w:r w:rsidRPr="008C2297">
        <w:t>hành phố về quy định mức học phí đối với giáo dục mầm non, giáo dục phổ thông công lập từ năm học 2024-2025 và các năm học tiếp theo trên địa bàn Thành phố Hồ Chí Minh</w:t>
      </w:r>
      <w:r>
        <w:t>, cụ thể như sau:</w:t>
      </w:r>
      <w:r w:rsidRPr="0032001C">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2"/>
        <w:gridCol w:w="1843"/>
        <w:gridCol w:w="1843"/>
      </w:tblGrid>
      <w:tr w:rsidR="00697E6C" w:rsidRPr="00385FD4" w14:paraId="67E3812B" w14:textId="77777777" w:rsidTr="00A2016F">
        <w:trPr>
          <w:cantSplit/>
          <w:trHeight w:val="419"/>
        </w:trPr>
        <w:tc>
          <w:tcPr>
            <w:tcW w:w="3086" w:type="pct"/>
            <w:vMerge w:val="restart"/>
            <w:tcBorders>
              <w:top w:val="single" w:sz="4" w:space="0" w:color="000000"/>
              <w:left w:val="single" w:sz="4" w:space="0" w:color="000000"/>
              <w:right w:val="single" w:sz="4" w:space="0" w:color="000000"/>
            </w:tcBorders>
            <w:vAlign w:val="center"/>
          </w:tcPr>
          <w:p w14:paraId="3BE29E0B" w14:textId="77777777" w:rsidR="00697E6C" w:rsidRPr="00385FD4" w:rsidRDefault="00697E6C" w:rsidP="00A2016F">
            <w:pPr>
              <w:shd w:val="clear" w:color="auto" w:fill="FFFFFF"/>
              <w:spacing w:before="120" w:after="120"/>
              <w:ind w:left="1" w:hanging="3"/>
              <w:jc w:val="center"/>
            </w:pPr>
            <w:r w:rsidRPr="00385FD4">
              <w:rPr>
                <w:b/>
              </w:rPr>
              <w:t>Cấp học</w:t>
            </w:r>
          </w:p>
        </w:tc>
        <w:tc>
          <w:tcPr>
            <w:tcW w:w="1914" w:type="pct"/>
            <w:gridSpan w:val="2"/>
            <w:tcBorders>
              <w:left w:val="single" w:sz="4" w:space="0" w:color="000000"/>
            </w:tcBorders>
            <w:vAlign w:val="center"/>
          </w:tcPr>
          <w:p w14:paraId="7FD5DB6B" w14:textId="77777777" w:rsidR="00697E6C" w:rsidRPr="00385FD4" w:rsidRDefault="00697E6C" w:rsidP="00A2016F">
            <w:pPr>
              <w:shd w:val="clear" w:color="auto" w:fill="FFFFFF"/>
              <w:spacing w:before="120" w:after="120"/>
              <w:ind w:left="1" w:hanging="3"/>
              <w:jc w:val="center"/>
              <w:rPr>
                <w:b/>
              </w:rPr>
            </w:pPr>
            <w:r w:rsidRPr="00385FD4">
              <w:rPr>
                <w:b/>
              </w:rPr>
              <w:t xml:space="preserve">Mức hỗ trợ học phí </w:t>
            </w:r>
          </w:p>
          <w:p w14:paraId="4A4F8664" w14:textId="77777777" w:rsidR="00697E6C" w:rsidRPr="00385FD4" w:rsidRDefault="00697E6C" w:rsidP="00A2016F">
            <w:pPr>
              <w:shd w:val="clear" w:color="auto" w:fill="FFFFFF"/>
              <w:spacing w:before="120" w:after="120"/>
              <w:ind w:left="1" w:hanging="3"/>
              <w:jc w:val="center"/>
            </w:pPr>
            <w:r w:rsidRPr="00385FD4">
              <w:rPr>
                <w:b/>
              </w:rPr>
              <w:t>(</w:t>
            </w:r>
            <w:r w:rsidRPr="00385FD4">
              <w:rPr>
                <w:i/>
              </w:rPr>
              <w:t>đồng/học sinh/tháng)</w:t>
            </w:r>
          </w:p>
        </w:tc>
      </w:tr>
      <w:tr w:rsidR="00697E6C" w:rsidRPr="00385FD4" w14:paraId="14FEDC0C" w14:textId="77777777" w:rsidTr="00A2016F">
        <w:trPr>
          <w:cantSplit/>
          <w:trHeight w:val="244"/>
        </w:trPr>
        <w:tc>
          <w:tcPr>
            <w:tcW w:w="3086" w:type="pct"/>
            <w:vMerge/>
            <w:tcBorders>
              <w:top w:val="single" w:sz="4" w:space="0" w:color="000000"/>
              <w:left w:val="single" w:sz="4" w:space="0" w:color="000000"/>
              <w:right w:val="single" w:sz="4" w:space="0" w:color="000000"/>
            </w:tcBorders>
            <w:vAlign w:val="center"/>
          </w:tcPr>
          <w:p w14:paraId="1DDF3C78" w14:textId="77777777" w:rsidR="00697E6C" w:rsidRPr="00385FD4" w:rsidRDefault="00697E6C" w:rsidP="00A2016F">
            <w:pPr>
              <w:pBdr>
                <w:top w:val="nil"/>
                <w:left w:val="nil"/>
                <w:bottom w:val="nil"/>
                <w:right w:val="nil"/>
                <w:between w:val="nil"/>
              </w:pBdr>
              <w:spacing w:line="276" w:lineRule="auto"/>
              <w:ind w:left="1" w:hanging="3"/>
            </w:pPr>
          </w:p>
        </w:tc>
        <w:tc>
          <w:tcPr>
            <w:tcW w:w="957" w:type="pct"/>
            <w:tcBorders>
              <w:left w:val="single" w:sz="4" w:space="0" w:color="000000"/>
            </w:tcBorders>
            <w:vAlign w:val="center"/>
          </w:tcPr>
          <w:p w14:paraId="181F8603" w14:textId="77777777" w:rsidR="00697E6C" w:rsidRPr="00385FD4" w:rsidRDefault="00697E6C" w:rsidP="00A2016F">
            <w:pPr>
              <w:shd w:val="clear" w:color="auto" w:fill="FFFFFF"/>
              <w:spacing w:before="120" w:after="120"/>
              <w:ind w:left="1" w:hanging="3"/>
              <w:jc w:val="center"/>
            </w:pPr>
            <w:r w:rsidRPr="00385FD4">
              <w:rPr>
                <w:b/>
              </w:rPr>
              <w:t>Nhóm 1</w:t>
            </w:r>
          </w:p>
        </w:tc>
        <w:tc>
          <w:tcPr>
            <w:tcW w:w="957" w:type="pct"/>
            <w:vAlign w:val="center"/>
          </w:tcPr>
          <w:p w14:paraId="0C64E055" w14:textId="77777777" w:rsidR="00697E6C" w:rsidRPr="00385FD4" w:rsidRDefault="00697E6C" w:rsidP="00A2016F">
            <w:pPr>
              <w:shd w:val="clear" w:color="auto" w:fill="FFFFFF"/>
              <w:spacing w:before="120" w:after="120"/>
              <w:ind w:left="1" w:hanging="3"/>
              <w:jc w:val="center"/>
            </w:pPr>
            <w:r w:rsidRPr="00385FD4">
              <w:rPr>
                <w:b/>
              </w:rPr>
              <w:t>Nhóm 2</w:t>
            </w:r>
          </w:p>
        </w:tc>
      </w:tr>
      <w:tr w:rsidR="00697E6C" w:rsidRPr="00385FD4" w14:paraId="1514438F" w14:textId="77777777" w:rsidTr="00A2016F">
        <w:trPr>
          <w:trHeight w:val="460"/>
        </w:trPr>
        <w:tc>
          <w:tcPr>
            <w:tcW w:w="3086" w:type="pct"/>
            <w:vAlign w:val="center"/>
          </w:tcPr>
          <w:p w14:paraId="104C708F" w14:textId="77777777" w:rsidR="00697E6C" w:rsidRPr="00385FD4" w:rsidRDefault="00697E6C" w:rsidP="00A2016F">
            <w:pPr>
              <w:shd w:val="clear" w:color="auto" w:fill="FFFFFF"/>
              <w:spacing w:before="120" w:after="120"/>
              <w:ind w:left="1" w:hanging="3"/>
              <w:jc w:val="both"/>
            </w:pPr>
            <w:r w:rsidRPr="00385FD4">
              <w:t xml:space="preserve">Trung học cơ sở </w:t>
            </w:r>
          </w:p>
        </w:tc>
        <w:tc>
          <w:tcPr>
            <w:tcW w:w="957" w:type="pct"/>
            <w:vAlign w:val="center"/>
          </w:tcPr>
          <w:p w14:paraId="5F86DA44" w14:textId="77777777" w:rsidR="00697E6C" w:rsidRPr="00385FD4" w:rsidRDefault="00697E6C" w:rsidP="00A2016F">
            <w:pPr>
              <w:shd w:val="clear" w:color="auto" w:fill="FFFFFF"/>
              <w:spacing w:before="120" w:after="120"/>
              <w:ind w:left="1" w:hanging="3"/>
              <w:jc w:val="center"/>
            </w:pPr>
            <w:r>
              <w:t>60</w:t>
            </w:r>
            <w:r w:rsidRPr="00385FD4">
              <w:t>.000</w:t>
            </w:r>
          </w:p>
        </w:tc>
        <w:tc>
          <w:tcPr>
            <w:tcW w:w="957" w:type="pct"/>
            <w:vAlign w:val="center"/>
          </w:tcPr>
          <w:p w14:paraId="53704502" w14:textId="77777777" w:rsidR="00697E6C" w:rsidRPr="00385FD4" w:rsidRDefault="00697E6C" w:rsidP="00A2016F">
            <w:pPr>
              <w:shd w:val="clear" w:color="auto" w:fill="FFFFFF"/>
              <w:spacing w:before="120" w:after="120"/>
              <w:ind w:left="1" w:hanging="3"/>
              <w:jc w:val="center"/>
            </w:pPr>
            <w:r>
              <w:t>30</w:t>
            </w:r>
            <w:r w:rsidRPr="00385FD4">
              <w:t>.000</w:t>
            </w:r>
          </w:p>
        </w:tc>
      </w:tr>
      <w:tr w:rsidR="00697E6C" w:rsidRPr="00385FD4" w14:paraId="6F579E1D" w14:textId="77777777" w:rsidTr="00A2016F">
        <w:trPr>
          <w:trHeight w:val="533"/>
        </w:trPr>
        <w:tc>
          <w:tcPr>
            <w:tcW w:w="3086" w:type="pct"/>
            <w:vAlign w:val="center"/>
          </w:tcPr>
          <w:p w14:paraId="457072A8" w14:textId="77777777" w:rsidR="00697E6C" w:rsidRPr="00385FD4" w:rsidRDefault="00697E6C" w:rsidP="00A2016F">
            <w:pPr>
              <w:shd w:val="clear" w:color="auto" w:fill="FFFFFF"/>
              <w:spacing w:before="120" w:after="120"/>
              <w:ind w:left="1" w:hanging="3"/>
              <w:jc w:val="both"/>
            </w:pPr>
            <w:r w:rsidRPr="00385FD4">
              <w:t>Giáo dục thường xuyên Trung học cơ sở</w:t>
            </w:r>
          </w:p>
        </w:tc>
        <w:tc>
          <w:tcPr>
            <w:tcW w:w="957" w:type="pct"/>
            <w:vAlign w:val="center"/>
          </w:tcPr>
          <w:p w14:paraId="05EB693B" w14:textId="77777777" w:rsidR="00697E6C" w:rsidRPr="00385FD4" w:rsidRDefault="00697E6C" w:rsidP="00A2016F">
            <w:pPr>
              <w:shd w:val="clear" w:color="auto" w:fill="FFFFFF"/>
              <w:spacing w:before="120" w:after="120"/>
              <w:ind w:left="1" w:hanging="3"/>
              <w:jc w:val="center"/>
            </w:pPr>
            <w:r>
              <w:t>6</w:t>
            </w:r>
            <w:r w:rsidRPr="00385FD4">
              <w:t>0.000</w:t>
            </w:r>
          </w:p>
        </w:tc>
        <w:tc>
          <w:tcPr>
            <w:tcW w:w="957" w:type="pct"/>
            <w:vAlign w:val="center"/>
          </w:tcPr>
          <w:p w14:paraId="3330B9E0" w14:textId="77777777" w:rsidR="00697E6C" w:rsidRPr="00385FD4" w:rsidRDefault="00697E6C" w:rsidP="00A2016F">
            <w:pPr>
              <w:shd w:val="clear" w:color="auto" w:fill="FFFFFF"/>
              <w:spacing w:before="120" w:after="120"/>
              <w:ind w:left="1" w:hanging="3"/>
              <w:jc w:val="center"/>
            </w:pPr>
            <w:r>
              <w:t>30</w:t>
            </w:r>
            <w:r w:rsidRPr="00385FD4">
              <w:t>.000</w:t>
            </w:r>
          </w:p>
        </w:tc>
      </w:tr>
    </w:tbl>
    <w:p w14:paraId="0F59B347" w14:textId="77777777" w:rsidR="00697E6C" w:rsidRDefault="00697E6C" w:rsidP="00697E6C">
      <w:pPr>
        <w:spacing w:before="120" w:after="120"/>
        <w:ind w:left="-2" w:firstLine="722"/>
        <w:jc w:val="both"/>
      </w:pPr>
      <w:r>
        <w:t xml:space="preserve">+ </w:t>
      </w:r>
      <w:r>
        <w:rPr>
          <w:b/>
        </w:rPr>
        <w:t>Nhóm 1</w:t>
      </w:r>
      <w:r>
        <w:t xml:space="preserve">: Học sinh học tại các trường ở Thành phố Thủ Đức và các quận: 1, 3, 4, 5, 6, 7, 8, 10, 11, 12, Bình Thạnh, Phú Nhuận, Gò Vấp, Tân Bình, Tân Phú, Bình Tân. </w:t>
      </w:r>
    </w:p>
    <w:p w14:paraId="6DB9A0F8" w14:textId="0C5FE054" w:rsidR="00697E6C" w:rsidRDefault="00697E6C" w:rsidP="00697E6C">
      <w:pPr>
        <w:spacing w:before="120" w:after="120"/>
        <w:ind w:left="-2" w:firstLine="722"/>
        <w:jc w:val="both"/>
        <w:rPr>
          <w:bCs/>
          <w:color w:val="000000"/>
        </w:rPr>
      </w:pPr>
      <w:r>
        <w:t xml:space="preserve">+ </w:t>
      </w:r>
      <w:r>
        <w:rPr>
          <w:b/>
        </w:rPr>
        <w:t>Nhóm 2</w:t>
      </w:r>
      <w:r>
        <w:t>: Học sinh học tại các trường ở các huyện: Bình Chánh, Hóc Môn, Củ Chi, Nhà Bè và Cần Giờ.</w:t>
      </w:r>
      <w:r>
        <w:tab/>
      </w:r>
    </w:p>
    <w:p w14:paraId="482111D1" w14:textId="33301178" w:rsidR="00075CFF" w:rsidRPr="000C4279" w:rsidRDefault="00075CFF" w:rsidP="006D08E9">
      <w:pPr>
        <w:pBdr>
          <w:top w:val="nil"/>
          <w:left w:val="nil"/>
          <w:bottom w:val="nil"/>
          <w:right w:val="nil"/>
          <w:between w:val="nil"/>
        </w:pBdr>
        <w:shd w:val="clear" w:color="auto" w:fill="FFFFFF"/>
        <w:spacing w:before="120" w:after="120"/>
        <w:ind w:firstLine="567"/>
        <w:jc w:val="both"/>
        <w:rPr>
          <w:b/>
          <w:i/>
          <w:iCs/>
          <w:color w:val="000000"/>
        </w:rPr>
      </w:pPr>
      <w:r w:rsidRPr="000C4279">
        <w:rPr>
          <w:b/>
          <w:i/>
          <w:iCs/>
          <w:color w:val="000000"/>
        </w:rPr>
        <w:t>2.</w:t>
      </w:r>
      <w:r>
        <w:rPr>
          <w:b/>
          <w:i/>
          <w:iCs/>
          <w:color w:val="000000"/>
        </w:rPr>
        <w:t>3</w:t>
      </w:r>
      <w:r w:rsidRPr="000C4279">
        <w:rPr>
          <w:b/>
          <w:i/>
          <w:iCs/>
          <w:color w:val="000000"/>
        </w:rPr>
        <w:t xml:space="preserve">. </w:t>
      </w:r>
      <w:r>
        <w:rPr>
          <w:b/>
          <w:i/>
          <w:iCs/>
          <w:color w:val="000000"/>
        </w:rPr>
        <w:t>Kiến nghị, đề xuất</w:t>
      </w:r>
    </w:p>
    <w:p w14:paraId="42C6D092" w14:textId="19FCBC38" w:rsidR="00697E6C" w:rsidRPr="00697E6C" w:rsidRDefault="00697E6C" w:rsidP="00697E6C">
      <w:pPr>
        <w:pBdr>
          <w:top w:val="nil"/>
          <w:left w:val="nil"/>
          <w:bottom w:val="nil"/>
          <w:right w:val="nil"/>
          <w:between w:val="nil"/>
        </w:pBdr>
        <w:shd w:val="clear" w:color="auto" w:fill="FFFFFF"/>
        <w:spacing w:before="120" w:after="120"/>
        <w:ind w:firstLine="567"/>
        <w:jc w:val="both"/>
        <w:rPr>
          <w:bCs/>
          <w:color w:val="000000"/>
        </w:rPr>
      </w:pPr>
      <w:r w:rsidRPr="00697E6C">
        <w:rPr>
          <w:bCs/>
          <w:color w:val="000000"/>
        </w:rPr>
        <w:t xml:space="preserve">Xuất phát từ thực tiễn tình hình kinh tế - xã hội của Thành phố trong năm 2024 và trên cơ sở lộ trình miễn giảm học phí tại Nghị định số 81/2021/NĐ-CP của Chính phủ, </w:t>
      </w:r>
    </w:p>
    <w:p w14:paraId="744ED6AE" w14:textId="2DE42220" w:rsidR="000C4279" w:rsidRPr="00C95499" w:rsidRDefault="00697E6C" w:rsidP="00697E6C">
      <w:pPr>
        <w:pBdr>
          <w:top w:val="nil"/>
          <w:left w:val="nil"/>
          <w:bottom w:val="nil"/>
          <w:right w:val="nil"/>
          <w:between w:val="nil"/>
        </w:pBdr>
        <w:shd w:val="clear" w:color="auto" w:fill="FFFFFF"/>
        <w:spacing w:before="120" w:after="120"/>
        <w:ind w:firstLine="567"/>
        <w:jc w:val="both"/>
        <w:rPr>
          <w:bCs/>
          <w:color w:val="000000"/>
        </w:rPr>
      </w:pPr>
      <w:r w:rsidRPr="00697E6C">
        <w:rPr>
          <w:bCs/>
          <w:color w:val="000000"/>
        </w:rPr>
        <w:t xml:space="preserve">Để có cơ sở pháp lý bố trí nguồn ngân sách thành phố triển khai thực hiện bảo đảm nguồn kinh phí để hỗ trợ học phí năm học 2024-2025 trên địa bàn Thành phố, việc </w:t>
      </w:r>
      <w:r>
        <w:rPr>
          <w:bCs/>
          <w:color w:val="000000"/>
        </w:rPr>
        <w:t>Hội đồng nhân dân Thành phố ban hành</w:t>
      </w:r>
      <w:r w:rsidRPr="00697E6C">
        <w:rPr>
          <w:bCs/>
          <w:color w:val="000000"/>
        </w:rPr>
        <w:t xml:space="preserve"> Nghị quyết về chính sách đặc thù hỗ trợ học phí cho học sinh trung học cơ sở công lập, ngoài công lập và học viên giáo dục thường xuyên trung học cơ sở trên địa bàn Thành phố Hồ Chí Minh năm học 2024 – 2025 là </w:t>
      </w:r>
      <w:r w:rsidRPr="00697E6C">
        <w:rPr>
          <w:bCs/>
          <w:color w:val="000000"/>
        </w:rPr>
        <w:lastRenderedPageBreak/>
        <w:t>yêu cầu cần thiết</w:t>
      </w:r>
      <w:r>
        <w:rPr>
          <w:bCs/>
          <w:color w:val="000000"/>
        </w:rPr>
        <w:t xml:space="preserve">, </w:t>
      </w:r>
      <w:r w:rsidRPr="00697E6C">
        <w:rPr>
          <w:bCs/>
          <w:color w:val="000000"/>
        </w:rPr>
        <w:t>tạo dấu ấn có ý nghĩa đặc biệt quan trọng, thể hiện sự quan tâm, quyết tâm của Thành phố khi thực hiện lộ trình, mục tiêu phát triển giáo dục</w:t>
      </w:r>
      <w:r>
        <w:rPr>
          <w:bCs/>
          <w:color w:val="000000"/>
        </w:rPr>
        <w:t>.</w:t>
      </w:r>
    </w:p>
    <w:p w14:paraId="55C89EE3" w14:textId="79EFD5F5" w:rsidR="005D096E" w:rsidRDefault="00C97857" w:rsidP="006D08E9">
      <w:pPr>
        <w:spacing w:before="120" w:after="120"/>
        <w:ind w:firstLine="567"/>
        <w:jc w:val="both"/>
      </w:pPr>
      <w:bookmarkStart w:id="0" w:name="_heading=h.gjdgxs" w:colFirst="0" w:colLast="0"/>
      <w:bookmarkEnd w:id="0"/>
      <w:r>
        <w:t xml:space="preserve">Trên đây là </w:t>
      </w:r>
      <w:r w:rsidR="00C95499">
        <w:t xml:space="preserve">báo cáo về rà soát các văn bản quy phạm pháp luật liên quan đến dự thảo Nghị quyết </w:t>
      </w:r>
      <w:r w:rsidR="008E4FB7" w:rsidRPr="00697E6C">
        <w:rPr>
          <w:bCs/>
          <w:color w:val="000000"/>
        </w:rPr>
        <w:t>về chính sách đặc thù hỗ trợ học phí cho học sinh trung học cơ sở công lập, ngoài công lập và học viên giáo dục thường xuyên trung học cơ sở trên địa bàn Thành phố Hồ Chí Minh năm học 2024 – 2025</w:t>
      </w:r>
      <w:r>
        <w:t>./.</w:t>
      </w:r>
    </w:p>
    <w:p w14:paraId="51EA5DF2" w14:textId="016E469E" w:rsidR="00136E10" w:rsidRPr="00C95499" w:rsidRDefault="00136E10" w:rsidP="00136E10">
      <w:pPr>
        <w:pBdr>
          <w:top w:val="nil"/>
          <w:left w:val="nil"/>
          <w:bottom w:val="nil"/>
          <w:right w:val="nil"/>
          <w:between w:val="nil"/>
        </w:pBdr>
        <w:shd w:val="clear" w:color="auto" w:fill="FFFFFF"/>
        <w:spacing w:before="120" w:after="120"/>
        <w:ind w:firstLine="567"/>
        <w:jc w:val="both"/>
        <w:rPr>
          <w:bCs/>
          <w:i/>
          <w:iCs/>
          <w:color w:val="000000"/>
        </w:rPr>
      </w:pPr>
      <w:bookmarkStart w:id="1" w:name="_heading=h.27mlm3rpp4pc" w:colFirst="0" w:colLast="0"/>
      <w:bookmarkEnd w:id="1"/>
      <w:r w:rsidRPr="00C95499">
        <w:rPr>
          <w:bCs/>
          <w:i/>
          <w:iCs/>
          <w:color w:val="000000"/>
        </w:rPr>
        <w:t>(</w:t>
      </w:r>
      <w:r>
        <w:rPr>
          <w:bCs/>
          <w:i/>
          <w:iCs/>
          <w:color w:val="000000"/>
        </w:rPr>
        <w:t xml:space="preserve">Đính kèm </w:t>
      </w:r>
      <w:r w:rsidRPr="00C95499">
        <w:rPr>
          <w:bCs/>
          <w:i/>
          <w:iCs/>
          <w:color w:val="000000"/>
        </w:rPr>
        <w:t xml:space="preserve">Phụ lục - văn bản quy phạm pháp luật được rà soát liên quan đến </w:t>
      </w:r>
      <w:r>
        <w:rPr>
          <w:bCs/>
          <w:i/>
          <w:iCs/>
          <w:color w:val="000000"/>
        </w:rPr>
        <w:br/>
      </w:r>
      <w:r w:rsidRPr="00C95499">
        <w:rPr>
          <w:bCs/>
          <w:i/>
          <w:iCs/>
          <w:color w:val="000000"/>
        </w:rPr>
        <w:t xml:space="preserve">dự thảo </w:t>
      </w:r>
      <w:r>
        <w:rPr>
          <w:bCs/>
          <w:i/>
          <w:iCs/>
          <w:color w:val="000000"/>
        </w:rPr>
        <w:t>Nghị quyết</w:t>
      </w:r>
      <w:r w:rsidRPr="00C95499">
        <w:rPr>
          <w:bCs/>
          <w:i/>
          <w:iCs/>
          <w:color w:val="000000"/>
        </w:rPr>
        <w:t>)</w:t>
      </w:r>
    </w:p>
    <w:p w14:paraId="112EF7F0" w14:textId="77777777" w:rsidR="00136E10" w:rsidRDefault="00136E10" w:rsidP="006D08E9">
      <w:pPr>
        <w:spacing w:before="120" w:after="120"/>
        <w:ind w:firstLine="567"/>
        <w:jc w:val="both"/>
      </w:pPr>
    </w:p>
    <w:tbl>
      <w:tblPr>
        <w:tblStyle w:val="a0"/>
        <w:tblW w:w="9520" w:type="dxa"/>
        <w:tblLayout w:type="fixed"/>
        <w:tblLook w:val="0000" w:firstRow="0" w:lastRow="0" w:firstColumn="0" w:lastColumn="0" w:noHBand="0" w:noVBand="0"/>
      </w:tblPr>
      <w:tblGrid>
        <w:gridCol w:w="4730"/>
        <w:gridCol w:w="4790"/>
      </w:tblGrid>
      <w:tr w:rsidR="007718E5" w14:paraId="4318032F" w14:textId="77777777" w:rsidTr="00C97D5D">
        <w:trPr>
          <w:trHeight w:val="2052"/>
        </w:trPr>
        <w:tc>
          <w:tcPr>
            <w:tcW w:w="4730" w:type="dxa"/>
          </w:tcPr>
          <w:p w14:paraId="482AE1A1" w14:textId="77777777" w:rsidR="007718E5" w:rsidRPr="00621366" w:rsidRDefault="007718E5" w:rsidP="00C97D5D">
            <w:pPr>
              <w:jc w:val="both"/>
              <w:rPr>
                <w:b/>
                <w:i/>
                <w:sz w:val="24"/>
                <w:szCs w:val="24"/>
              </w:rPr>
            </w:pPr>
            <w:r w:rsidRPr="00621366">
              <w:rPr>
                <w:b/>
                <w:i/>
                <w:sz w:val="24"/>
                <w:szCs w:val="24"/>
              </w:rPr>
              <w:t>Nơi nhận :</w:t>
            </w:r>
          </w:p>
          <w:p w14:paraId="5B979C21" w14:textId="5E8B1D83" w:rsidR="001913E9" w:rsidRPr="001913E9" w:rsidRDefault="007718E5" w:rsidP="00C97D5D">
            <w:pPr>
              <w:jc w:val="both"/>
              <w:rPr>
                <w:sz w:val="22"/>
                <w:szCs w:val="22"/>
              </w:rPr>
            </w:pPr>
            <w:r>
              <w:rPr>
                <w:sz w:val="26"/>
                <w:szCs w:val="26"/>
              </w:rPr>
              <w:t xml:space="preserve">- </w:t>
            </w:r>
            <w:r>
              <w:rPr>
                <w:sz w:val="22"/>
                <w:szCs w:val="22"/>
              </w:rPr>
              <w:t>Như trên;</w:t>
            </w:r>
          </w:p>
          <w:p w14:paraId="25DEDE04" w14:textId="77777777" w:rsidR="007718E5" w:rsidRDefault="007718E5" w:rsidP="00C97D5D">
            <w:pPr>
              <w:jc w:val="both"/>
              <w:rPr>
                <w:sz w:val="22"/>
                <w:szCs w:val="22"/>
              </w:rPr>
            </w:pPr>
            <w:r>
              <w:rPr>
                <w:sz w:val="22"/>
                <w:szCs w:val="22"/>
              </w:rPr>
              <w:t>- Văn phòng UBNDTP (để báo cáo);</w:t>
            </w:r>
          </w:p>
          <w:p w14:paraId="71F80D73" w14:textId="77777777" w:rsidR="007718E5" w:rsidRDefault="007718E5" w:rsidP="00C97D5D">
            <w:pPr>
              <w:jc w:val="both"/>
              <w:rPr>
                <w:sz w:val="22"/>
                <w:szCs w:val="22"/>
              </w:rPr>
            </w:pPr>
            <w:r>
              <w:rPr>
                <w:sz w:val="22"/>
                <w:szCs w:val="22"/>
              </w:rPr>
              <w:t xml:space="preserve">- Sở Tư pháp (để hỗ trợ) ; </w:t>
            </w:r>
          </w:p>
          <w:p w14:paraId="5428F85A" w14:textId="77777777" w:rsidR="007718E5" w:rsidRDefault="007718E5" w:rsidP="00C97D5D">
            <w:pPr>
              <w:jc w:val="both"/>
              <w:rPr>
                <w:sz w:val="26"/>
                <w:szCs w:val="26"/>
              </w:rPr>
            </w:pPr>
            <w:r>
              <w:rPr>
                <w:sz w:val="22"/>
                <w:szCs w:val="22"/>
              </w:rPr>
              <w:t xml:space="preserve">- Lưu: VT, KHTC (Linh).                                                                     </w:t>
            </w:r>
          </w:p>
        </w:tc>
        <w:tc>
          <w:tcPr>
            <w:tcW w:w="4790" w:type="dxa"/>
          </w:tcPr>
          <w:p w14:paraId="42CC6D09" w14:textId="77777777" w:rsidR="007718E5" w:rsidRDefault="007718E5" w:rsidP="00C97D5D">
            <w:pPr>
              <w:ind w:right="-43"/>
              <w:jc w:val="center"/>
              <w:rPr>
                <w:b/>
              </w:rPr>
            </w:pPr>
            <w:r>
              <w:rPr>
                <w:b/>
              </w:rPr>
              <w:t>GIÁM ĐỐC</w:t>
            </w:r>
          </w:p>
          <w:p w14:paraId="377FD207" w14:textId="77777777" w:rsidR="007718E5" w:rsidRDefault="007718E5" w:rsidP="00C97D5D">
            <w:pPr>
              <w:ind w:right="-43"/>
              <w:jc w:val="center"/>
              <w:rPr>
                <w:b/>
              </w:rPr>
            </w:pPr>
          </w:p>
          <w:p w14:paraId="3DA935A1" w14:textId="77777777" w:rsidR="007718E5" w:rsidRDefault="007718E5" w:rsidP="00C97D5D">
            <w:pPr>
              <w:ind w:right="-43"/>
              <w:jc w:val="center"/>
              <w:rPr>
                <w:b/>
              </w:rPr>
            </w:pPr>
          </w:p>
          <w:p w14:paraId="1F7B2839" w14:textId="77777777" w:rsidR="007718E5" w:rsidRDefault="007718E5" w:rsidP="00C97D5D">
            <w:pPr>
              <w:ind w:right="-43"/>
              <w:rPr>
                <w:b/>
              </w:rPr>
            </w:pPr>
          </w:p>
          <w:p w14:paraId="52C2D82A" w14:textId="77777777" w:rsidR="007718E5" w:rsidRDefault="007718E5" w:rsidP="00C97D5D">
            <w:pPr>
              <w:ind w:right="-43"/>
              <w:rPr>
                <w:b/>
              </w:rPr>
            </w:pPr>
          </w:p>
          <w:p w14:paraId="17EBABB6" w14:textId="77777777" w:rsidR="007718E5" w:rsidRDefault="007718E5" w:rsidP="00C97D5D">
            <w:pPr>
              <w:ind w:right="-43"/>
              <w:rPr>
                <w:b/>
              </w:rPr>
            </w:pPr>
          </w:p>
          <w:p w14:paraId="47272089" w14:textId="77777777" w:rsidR="007718E5" w:rsidRDefault="007718E5" w:rsidP="00C97D5D">
            <w:pPr>
              <w:ind w:right="-43"/>
              <w:rPr>
                <w:b/>
              </w:rPr>
            </w:pPr>
            <w:r>
              <w:rPr>
                <w:b/>
              </w:rPr>
              <w:t xml:space="preserve">                   Nguyễn Văn Hiếu  </w:t>
            </w:r>
          </w:p>
        </w:tc>
      </w:tr>
    </w:tbl>
    <w:p w14:paraId="0C0DCD4C" w14:textId="77777777" w:rsidR="00876167" w:rsidRDefault="00C97857">
      <w:pPr>
        <w:rPr>
          <w:sz w:val="24"/>
          <w:szCs w:val="24"/>
        </w:rPr>
      </w:pPr>
      <w:r>
        <w:rPr>
          <w:sz w:val="24"/>
          <w:szCs w:val="24"/>
        </w:rPr>
        <w:t xml:space="preserve"> </w:t>
      </w:r>
    </w:p>
    <w:p w14:paraId="1F69992D" w14:textId="77777777" w:rsidR="00876167" w:rsidRDefault="00876167">
      <w:pPr>
        <w:rPr>
          <w:sz w:val="24"/>
          <w:szCs w:val="24"/>
        </w:rPr>
      </w:pPr>
    </w:p>
    <w:p w14:paraId="1E0859FC" w14:textId="77777777" w:rsidR="00876167" w:rsidRDefault="00876167">
      <w:pPr>
        <w:rPr>
          <w:sz w:val="24"/>
          <w:szCs w:val="24"/>
        </w:rPr>
      </w:pPr>
    </w:p>
    <w:p w14:paraId="23ED3EB3" w14:textId="77777777" w:rsidR="00876167" w:rsidRDefault="00876167">
      <w:pPr>
        <w:rPr>
          <w:sz w:val="24"/>
          <w:szCs w:val="24"/>
        </w:rPr>
      </w:pPr>
    </w:p>
    <w:p w14:paraId="793CAB0D" w14:textId="77777777" w:rsidR="00876167" w:rsidRDefault="00876167">
      <w:pPr>
        <w:rPr>
          <w:sz w:val="24"/>
          <w:szCs w:val="24"/>
        </w:rPr>
      </w:pPr>
    </w:p>
    <w:p w14:paraId="36DEA942" w14:textId="77777777" w:rsidR="00876167" w:rsidRDefault="00876167">
      <w:pPr>
        <w:rPr>
          <w:sz w:val="24"/>
          <w:szCs w:val="24"/>
        </w:rPr>
      </w:pPr>
    </w:p>
    <w:p w14:paraId="547E09BE" w14:textId="77777777" w:rsidR="002D7D24" w:rsidRDefault="002D7D24">
      <w:pPr>
        <w:rPr>
          <w:sz w:val="24"/>
          <w:szCs w:val="24"/>
        </w:rPr>
      </w:pPr>
    </w:p>
    <w:p w14:paraId="38413093" w14:textId="77777777" w:rsidR="002D7D24" w:rsidRDefault="002D7D24">
      <w:pPr>
        <w:rPr>
          <w:sz w:val="24"/>
          <w:szCs w:val="24"/>
        </w:rPr>
      </w:pPr>
    </w:p>
    <w:p w14:paraId="4033DB49" w14:textId="77777777" w:rsidR="002D7D24" w:rsidRDefault="002D7D24">
      <w:pPr>
        <w:rPr>
          <w:sz w:val="24"/>
          <w:szCs w:val="24"/>
        </w:rPr>
      </w:pPr>
    </w:p>
    <w:p w14:paraId="0F3B25F4" w14:textId="77777777" w:rsidR="002D7D24" w:rsidRDefault="002D7D24">
      <w:pPr>
        <w:rPr>
          <w:sz w:val="24"/>
          <w:szCs w:val="24"/>
        </w:rPr>
      </w:pPr>
    </w:p>
    <w:p w14:paraId="07A1E822" w14:textId="77777777" w:rsidR="002D7D24" w:rsidRDefault="002D7D24">
      <w:pPr>
        <w:rPr>
          <w:sz w:val="24"/>
          <w:szCs w:val="24"/>
        </w:rPr>
      </w:pPr>
    </w:p>
    <w:p w14:paraId="3406F3DC" w14:textId="77777777" w:rsidR="002D7D24" w:rsidRDefault="002D7D24">
      <w:pPr>
        <w:rPr>
          <w:sz w:val="24"/>
          <w:szCs w:val="24"/>
        </w:rPr>
      </w:pPr>
    </w:p>
    <w:p w14:paraId="0EAE0E28" w14:textId="77777777" w:rsidR="002D7D24" w:rsidRDefault="002D7D24">
      <w:pPr>
        <w:rPr>
          <w:sz w:val="24"/>
          <w:szCs w:val="24"/>
        </w:rPr>
      </w:pPr>
    </w:p>
    <w:p w14:paraId="2E48DD29" w14:textId="77777777" w:rsidR="002D7D24" w:rsidRDefault="002D7D24">
      <w:pPr>
        <w:rPr>
          <w:sz w:val="24"/>
          <w:szCs w:val="24"/>
        </w:rPr>
      </w:pPr>
    </w:p>
    <w:p w14:paraId="47868FF4" w14:textId="77777777" w:rsidR="002D7D24" w:rsidRDefault="002D7D24">
      <w:pPr>
        <w:rPr>
          <w:sz w:val="24"/>
          <w:szCs w:val="24"/>
        </w:rPr>
      </w:pPr>
    </w:p>
    <w:p w14:paraId="01D19754" w14:textId="77777777" w:rsidR="002D7D24" w:rsidRDefault="002D7D24">
      <w:pPr>
        <w:rPr>
          <w:sz w:val="24"/>
          <w:szCs w:val="24"/>
        </w:rPr>
      </w:pPr>
    </w:p>
    <w:p w14:paraId="04E7511C" w14:textId="77777777" w:rsidR="002D7D24" w:rsidRDefault="002D7D24">
      <w:pPr>
        <w:rPr>
          <w:sz w:val="24"/>
          <w:szCs w:val="24"/>
        </w:rPr>
      </w:pPr>
    </w:p>
    <w:p w14:paraId="028A1248" w14:textId="77777777" w:rsidR="002D7D24" w:rsidRDefault="002D7D24">
      <w:pPr>
        <w:rPr>
          <w:sz w:val="24"/>
          <w:szCs w:val="24"/>
        </w:rPr>
      </w:pPr>
    </w:p>
    <w:p w14:paraId="4A89080D" w14:textId="77777777" w:rsidR="002D7D24" w:rsidRDefault="002D7D24">
      <w:pPr>
        <w:rPr>
          <w:sz w:val="24"/>
          <w:szCs w:val="24"/>
        </w:rPr>
      </w:pPr>
    </w:p>
    <w:p w14:paraId="4C4916F4" w14:textId="77777777" w:rsidR="002D7D24" w:rsidRDefault="002D7D24">
      <w:pPr>
        <w:rPr>
          <w:sz w:val="24"/>
          <w:szCs w:val="24"/>
        </w:rPr>
      </w:pPr>
    </w:p>
    <w:p w14:paraId="155B14C6" w14:textId="77777777" w:rsidR="002D7D24" w:rsidRDefault="002D7D24">
      <w:pPr>
        <w:rPr>
          <w:sz w:val="24"/>
          <w:szCs w:val="24"/>
        </w:rPr>
      </w:pPr>
    </w:p>
    <w:p w14:paraId="339C4A8A" w14:textId="77777777" w:rsidR="002D7D24" w:rsidRDefault="002D7D24">
      <w:pPr>
        <w:rPr>
          <w:sz w:val="24"/>
          <w:szCs w:val="24"/>
        </w:rPr>
      </w:pPr>
    </w:p>
    <w:p w14:paraId="0B91EBDC" w14:textId="77777777" w:rsidR="002D7D24" w:rsidRDefault="002D7D24">
      <w:pPr>
        <w:rPr>
          <w:sz w:val="24"/>
          <w:szCs w:val="24"/>
        </w:rPr>
      </w:pPr>
    </w:p>
    <w:p w14:paraId="69FFDBE0" w14:textId="77777777" w:rsidR="002D7D24" w:rsidRDefault="002D7D24">
      <w:pPr>
        <w:rPr>
          <w:sz w:val="24"/>
          <w:szCs w:val="24"/>
        </w:rPr>
      </w:pPr>
    </w:p>
    <w:p w14:paraId="6670B318" w14:textId="77777777" w:rsidR="002D7D24" w:rsidRDefault="002D7D24">
      <w:pPr>
        <w:rPr>
          <w:sz w:val="24"/>
          <w:szCs w:val="24"/>
        </w:rPr>
      </w:pPr>
    </w:p>
    <w:p w14:paraId="127CDFAC" w14:textId="77777777" w:rsidR="002D7D24" w:rsidRDefault="002D7D24">
      <w:pPr>
        <w:rPr>
          <w:sz w:val="24"/>
          <w:szCs w:val="24"/>
        </w:rPr>
      </w:pPr>
    </w:p>
    <w:p w14:paraId="250249D6" w14:textId="77777777" w:rsidR="002D7D24" w:rsidRDefault="002D7D24">
      <w:pPr>
        <w:rPr>
          <w:sz w:val="24"/>
          <w:szCs w:val="24"/>
        </w:rPr>
      </w:pPr>
    </w:p>
    <w:p w14:paraId="14C0E7BB" w14:textId="77777777" w:rsidR="008E4FB7" w:rsidRDefault="008E4FB7">
      <w:pPr>
        <w:rPr>
          <w:sz w:val="24"/>
          <w:szCs w:val="24"/>
        </w:rPr>
      </w:pPr>
    </w:p>
    <w:p w14:paraId="59E482DD" w14:textId="77777777" w:rsidR="002D7D24" w:rsidRDefault="002D7D24">
      <w:pPr>
        <w:rPr>
          <w:sz w:val="24"/>
          <w:szCs w:val="24"/>
        </w:rPr>
      </w:pPr>
    </w:p>
    <w:p w14:paraId="70ADDB06" w14:textId="77777777" w:rsidR="00E32870" w:rsidRDefault="00E32870">
      <w:pPr>
        <w:rPr>
          <w:sz w:val="24"/>
          <w:szCs w:val="24"/>
        </w:rPr>
      </w:pPr>
    </w:p>
    <w:p w14:paraId="57392F20" w14:textId="455010AB" w:rsidR="00C95499" w:rsidRDefault="00F303EF" w:rsidP="00C95499">
      <w:pPr>
        <w:spacing w:before="120" w:after="280" w:afterAutospacing="1"/>
        <w:jc w:val="center"/>
      </w:pPr>
      <w:r>
        <w:rPr>
          <w:b/>
          <w:bCs/>
        </w:rPr>
        <w:lastRenderedPageBreak/>
        <w:t>P</w:t>
      </w:r>
      <w:r w:rsidR="00C95499">
        <w:rPr>
          <w:b/>
          <w:bCs/>
        </w:rPr>
        <w:t>hụ lục</w:t>
      </w:r>
    </w:p>
    <w:p w14:paraId="47D1B4B8" w14:textId="66BE5B32" w:rsidR="00C95499" w:rsidRDefault="00C95499" w:rsidP="00C95499">
      <w:pPr>
        <w:spacing w:before="120" w:after="280" w:afterAutospacing="1"/>
        <w:jc w:val="center"/>
      </w:pPr>
      <w:r>
        <w:rPr>
          <w:b/>
          <w:bCs/>
        </w:rPr>
        <w:t xml:space="preserve">VĂN BẢN QUY PHẠM PHÁP LUẬT ĐƯỢC RÀ SOÁT LIÊN QUAN ĐẾN </w:t>
      </w:r>
      <w:r>
        <w:rPr>
          <w:b/>
          <w:bCs/>
        </w:rPr>
        <w:br/>
      </w:r>
      <w:r w:rsidRPr="00C95499">
        <w:rPr>
          <w:b/>
          <w:bCs/>
        </w:rPr>
        <w:t xml:space="preserve">DỰ THẢO NGHỊ QUYẾT </w:t>
      </w:r>
      <w:r w:rsidR="008E4FB7" w:rsidRPr="008E4FB7">
        <w:rPr>
          <w:b/>
          <w:bCs/>
        </w:rPr>
        <w:t xml:space="preserve">VỀ CHÍNH SÁCH ĐẶC THÙ HỖ TRỢ HỌC PHÍ CHO HỌC SINH TRUNG HỌC CƠ SỞ CÔNG LẬP, NGOÀI CÔNG LẬP VÀ HỌC VIÊN GIÁO DỤC THƯỜNG XUYÊN TRUNG HỌC CƠ SỞ TRÊN </w:t>
      </w:r>
      <w:r w:rsidR="008E4FB7">
        <w:rPr>
          <w:b/>
          <w:bCs/>
        </w:rPr>
        <w:br/>
      </w:r>
      <w:r w:rsidR="008E4FB7" w:rsidRPr="008E4FB7">
        <w:rPr>
          <w:b/>
          <w:bCs/>
        </w:rPr>
        <w:t>ĐỊA BÀN THÀNH PHỐ HỒ CHÍ MINH NĂM HỌC 2024 –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80"/>
        <w:gridCol w:w="3066"/>
        <w:gridCol w:w="2193"/>
        <w:gridCol w:w="2179"/>
      </w:tblGrid>
      <w:tr w:rsidR="00C95499" w14:paraId="51E9CD97" w14:textId="77777777" w:rsidTr="00AE74B8">
        <w:trPr>
          <w:trHeight w:val="20"/>
        </w:trPr>
        <w:tc>
          <w:tcPr>
            <w:tcW w:w="11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0EC55E" w14:textId="77777777" w:rsidR="00C95499" w:rsidRDefault="00C95499" w:rsidP="003072D9">
            <w:pPr>
              <w:spacing w:before="120"/>
              <w:jc w:val="center"/>
            </w:pPr>
            <w:r>
              <w:rPr>
                <w:b/>
                <w:bCs/>
              </w:rPr>
              <w:t>NHÓM V</w:t>
            </w:r>
            <w:r>
              <w:rPr>
                <w:b/>
                <w:bCs/>
                <w:lang w:val="en-SG"/>
              </w:rPr>
              <w:t>Ấ</w:t>
            </w:r>
            <w:r>
              <w:rPr>
                <w:b/>
                <w:bCs/>
              </w:rPr>
              <w:t>N ĐỀ (nếu có)</w:t>
            </w:r>
          </w:p>
        </w:tc>
        <w:tc>
          <w:tcPr>
            <w:tcW w:w="159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B68EC5" w14:textId="77777777" w:rsidR="00C95499" w:rsidRDefault="00C95499" w:rsidP="003072D9">
            <w:pPr>
              <w:spacing w:before="120"/>
              <w:jc w:val="center"/>
            </w:pPr>
            <w:r>
              <w:rPr>
                <w:b/>
                <w:bCs/>
              </w:rPr>
              <w:t>D</w:t>
            </w:r>
            <w:r>
              <w:rPr>
                <w:b/>
                <w:bCs/>
                <w:lang w:val="en-SG"/>
              </w:rPr>
              <w:t xml:space="preserve">Ự </w:t>
            </w:r>
            <w:r>
              <w:rPr>
                <w:b/>
                <w:bCs/>
              </w:rPr>
              <w:t>THẢO VĂN BẢN</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9023CA" w14:textId="77777777" w:rsidR="00C95499" w:rsidRDefault="00C95499" w:rsidP="003072D9">
            <w:pPr>
              <w:spacing w:before="120"/>
              <w:jc w:val="center"/>
            </w:pPr>
            <w:r>
              <w:rPr>
                <w:b/>
                <w:bCs/>
              </w:rPr>
              <w:t>QUY ĐỊNH HIỆN H</w:t>
            </w:r>
            <w:r>
              <w:rPr>
                <w:b/>
                <w:bCs/>
                <w:lang w:val="en-SG"/>
              </w:rPr>
              <w:t>À</w:t>
            </w:r>
            <w:r>
              <w:rPr>
                <w:b/>
                <w:bCs/>
              </w:rPr>
              <w:t>NH CÓ LIÊN QUAN</w:t>
            </w:r>
          </w:p>
        </w:tc>
        <w:tc>
          <w:tcPr>
            <w:tcW w:w="113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B9B88D" w14:textId="77777777" w:rsidR="00C95499" w:rsidRDefault="00C95499" w:rsidP="003072D9">
            <w:pPr>
              <w:spacing w:before="120"/>
              <w:jc w:val="center"/>
            </w:pPr>
            <w:r>
              <w:rPr>
                <w:b/>
                <w:bCs/>
              </w:rPr>
              <w:t>ĐÁNH GIÁ (phù hợp, không phù hợp, đề xuất xử lý)</w:t>
            </w:r>
          </w:p>
        </w:tc>
      </w:tr>
      <w:tr w:rsidR="00C95499" w14:paraId="498B06A6" w14:textId="77777777" w:rsidTr="00AE74B8">
        <w:tblPrEx>
          <w:tblBorders>
            <w:top w:val="none" w:sz="0" w:space="0" w:color="auto"/>
            <w:bottom w:val="none" w:sz="0" w:space="0" w:color="auto"/>
            <w:insideH w:val="none" w:sz="0" w:space="0" w:color="auto"/>
            <w:insideV w:val="none" w:sz="0" w:space="0" w:color="auto"/>
          </w:tblBorders>
        </w:tblPrEx>
        <w:trPr>
          <w:trHeight w:val="20"/>
        </w:trPr>
        <w:tc>
          <w:tcPr>
            <w:tcW w:w="113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8107EE" w14:textId="77777777" w:rsidR="00C95499" w:rsidRDefault="00C95499" w:rsidP="003072D9">
            <w:pPr>
              <w:spacing w:before="120"/>
              <w:jc w:val="center"/>
            </w:pPr>
            <w:r>
              <w:t> </w:t>
            </w:r>
          </w:p>
        </w:tc>
        <w:tc>
          <w:tcPr>
            <w:tcW w:w="15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19E26C" w14:textId="761E9AA8" w:rsidR="00C95499" w:rsidRDefault="004F588B" w:rsidP="003072D9">
            <w:pPr>
              <w:spacing w:before="120"/>
              <w:jc w:val="center"/>
            </w:pPr>
            <w:r>
              <w:t>C</w:t>
            </w:r>
            <w:r w:rsidRPr="004F588B">
              <w:t>hính sách đặc thù hỗ trợ học phí cho học sinh trung học cơ sở công lập, ngoài công lập và học viên giáo dục thường xuyên trung học cơ sở trên địa bàn Thành phố Hồ Chí Minh năm học 2024 – 2025</w:t>
            </w:r>
            <w:r w:rsidR="00DD77C9" w:rsidRPr="00DD77C9">
              <w:t xml:space="preserve"> </w:t>
            </w:r>
          </w:p>
        </w:tc>
        <w:tc>
          <w:tcPr>
            <w:tcW w:w="11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0FFC1C" w14:textId="53305AC2" w:rsidR="00C95499" w:rsidRDefault="00C95499" w:rsidP="003072D9">
            <w:pPr>
              <w:spacing w:before="120"/>
              <w:jc w:val="center"/>
            </w:pPr>
            <w:r>
              <w:t> </w:t>
            </w:r>
            <w:r w:rsidR="004F588B" w:rsidRPr="004F588B">
              <w:t>Nghị quyết số 36/2023/NQ-HĐND ngày 08/12/2023 của Hội đồng nhân dân Thành phố</w:t>
            </w:r>
          </w:p>
        </w:tc>
        <w:tc>
          <w:tcPr>
            <w:tcW w:w="113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47A4D4" w14:textId="1BBE3189" w:rsidR="00C95499" w:rsidRDefault="00C95499" w:rsidP="003072D9">
            <w:pPr>
              <w:spacing w:before="120"/>
              <w:jc w:val="center"/>
            </w:pPr>
            <w:r>
              <w:t> </w:t>
            </w:r>
            <w:r w:rsidR="004F588B">
              <w:t xml:space="preserve">Hết </w:t>
            </w:r>
            <w:r w:rsidR="00A43885">
              <w:t>thời gian thực hiện</w:t>
            </w:r>
            <w:r w:rsidR="004F588B">
              <w:t xml:space="preserve">, </w:t>
            </w:r>
            <w:r w:rsidR="004F588B">
              <w:br/>
              <w:t>đề xuất chính sách thay thế</w:t>
            </w:r>
          </w:p>
        </w:tc>
      </w:tr>
      <w:tr w:rsidR="00D92DA0" w14:paraId="51317D2E" w14:textId="77777777" w:rsidTr="00AE74B8">
        <w:tblPrEx>
          <w:tblBorders>
            <w:top w:val="none" w:sz="0" w:space="0" w:color="auto"/>
            <w:bottom w:val="none" w:sz="0" w:space="0" w:color="auto"/>
            <w:insideH w:val="none" w:sz="0" w:space="0" w:color="auto"/>
            <w:insideV w:val="none" w:sz="0" w:space="0" w:color="auto"/>
          </w:tblBorders>
        </w:tblPrEx>
        <w:trPr>
          <w:trHeight w:val="20"/>
        </w:trPr>
        <w:tc>
          <w:tcPr>
            <w:tcW w:w="11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590C8746" w14:textId="77777777" w:rsidR="00D92DA0" w:rsidRDefault="00D92DA0" w:rsidP="003072D9">
            <w:pPr>
              <w:spacing w:before="120"/>
              <w:jc w:val="center"/>
            </w:pPr>
          </w:p>
        </w:tc>
        <w:tc>
          <w:tcPr>
            <w:tcW w:w="1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50AE735A" w14:textId="5BD72F83" w:rsidR="00D92DA0" w:rsidRDefault="004F588B" w:rsidP="003072D9">
            <w:pPr>
              <w:spacing w:before="120"/>
              <w:jc w:val="center"/>
            </w:pPr>
            <w:r>
              <w:t>C</w:t>
            </w:r>
            <w:r w:rsidRPr="004F588B">
              <w:t>hính sách đặc thù hỗ trợ học phí cho học sinh trung học cơ sở công lập, ngoài công lập và học viên giáo dục thường xuyên trung học cơ sở trên địa bàn Thành phố Hồ Chí Minh năm học 2024 – 2025</w:t>
            </w:r>
          </w:p>
        </w:tc>
        <w:tc>
          <w:tcPr>
            <w:tcW w:w="11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4F8C2540" w14:textId="0AF2729F" w:rsidR="00D92DA0" w:rsidRDefault="004F588B" w:rsidP="003072D9">
            <w:pPr>
              <w:spacing w:before="120"/>
              <w:jc w:val="center"/>
            </w:pPr>
            <w:r w:rsidRPr="004F588B">
              <w:t>Nghị quyết số 12/2024/NQ-HĐND ngày 16 tháng 7 năm 2024 của Hội đồng nhân dân Thành phố</w:t>
            </w:r>
          </w:p>
        </w:tc>
        <w:tc>
          <w:tcPr>
            <w:tcW w:w="113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4E7DF51F" w14:textId="65F4C229" w:rsidR="00D92DA0" w:rsidRDefault="004F588B" w:rsidP="003072D9">
            <w:pPr>
              <w:spacing w:before="120"/>
              <w:jc w:val="center"/>
            </w:pPr>
            <w:r>
              <w:t>Phù hợp</w:t>
            </w:r>
          </w:p>
        </w:tc>
      </w:tr>
    </w:tbl>
    <w:p w14:paraId="73B73A01" w14:textId="77777777" w:rsidR="00C95499" w:rsidRDefault="00C95499">
      <w:pPr>
        <w:rPr>
          <w:sz w:val="24"/>
          <w:szCs w:val="24"/>
        </w:rPr>
      </w:pPr>
    </w:p>
    <w:sectPr w:rsidR="00C95499" w:rsidSect="006B7C04">
      <w:headerReference w:type="default" r:id="rId9"/>
      <w:footerReference w:type="default" r:id="rId10"/>
      <w:pgSz w:w="11907" w:h="16839"/>
      <w:pgMar w:top="1134" w:right="851"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6575F" w14:textId="77777777" w:rsidR="00E748F0" w:rsidRDefault="00E748F0">
      <w:r>
        <w:separator/>
      </w:r>
    </w:p>
  </w:endnote>
  <w:endnote w:type="continuationSeparator" w:id="0">
    <w:p w14:paraId="6F6B32B3" w14:textId="77777777" w:rsidR="00E748F0" w:rsidRDefault="00E7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EAE2C" w14:textId="77777777" w:rsidR="005D096E" w:rsidRDefault="005D096E">
    <w:pPr>
      <w:pBdr>
        <w:top w:val="nil"/>
        <w:left w:val="nil"/>
        <w:bottom w:val="nil"/>
        <w:right w:val="nil"/>
        <w:between w:val="nil"/>
      </w:pBdr>
      <w:tabs>
        <w:tab w:val="center" w:pos="4680"/>
        <w:tab w:val="right" w:pos="9360"/>
      </w:tabs>
      <w:jc w:val="right"/>
      <w:rPr>
        <w:color w:val="000000"/>
      </w:rPr>
    </w:pPr>
  </w:p>
  <w:p w14:paraId="47DC788B" w14:textId="77777777" w:rsidR="005D096E" w:rsidRDefault="005D09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07B13" w14:textId="77777777" w:rsidR="00E748F0" w:rsidRDefault="00E748F0">
      <w:r>
        <w:separator/>
      </w:r>
    </w:p>
  </w:footnote>
  <w:footnote w:type="continuationSeparator" w:id="0">
    <w:p w14:paraId="7A86859F" w14:textId="77777777" w:rsidR="00E748F0" w:rsidRDefault="00E7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F9F23" w14:textId="77777777" w:rsidR="005D096E" w:rsidRDefault="00C9785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11B04">
      <w:rPr>
        <w:noProof/>
        <w:color w:val="000000"/>
      </w:rPr>
      <w:t>2</w:t>
    </w:r>
    <w:r>
      <w:rPr>
        <w:color w:val="000000"/>
      </w:rPr>
      <w:fldChar w:fldCharType="end"/>
    </w:r>
  </w:p>
  <w:p w14:paraId="0DE8C514" w14:textId="77777777" w:rsidR="005D096E" w:rsidRDefault="005D09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8150D"/>
    <w:multiLevelType w:val="multilevel"/>
    <w:tmpl w:val="A57637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3334B5D"/>
    <w:multiLevelType w:val="multilevel"/>
    <w:tmpl w:val="C5004D9E"/>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71297E4D"/>
    <w:multiLevelType w:val="hybridMultilevel"/>
    <w:tmpl w:val="4B2A0C94"/>
    <w:lvl w:ilvl="0" w:tplc="B7664908">
      <w:start w:val="2"/>
      <w:numFmt w:val="lowerLetter"/>
      <w:lvlText w:val="%1)"/>
      <w:lvlJc w:val="left"/>
      <w:pPr>
        <w:ind w:left="927" w:hanging="360"/>
      </w:pPr>
      <w:rPr>
        <w:rFonts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951621675">
    <w:abstractNumId w:val="0"/>
  </w:num>
  <w:num w:numId="2" w16cid:durableId="1731347603">
    <w:abstractNumId w:val="1"/>
  </w:num>
  <w:num w:numId="3" w16cid:durableId="196234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96E"/>
    <w:rsid w:val="00004546"/>
    <w:rsid w:val="0000684E"/>
    <w:rsid w:val="000273F6"/>
    <w:rsid w:val="00030561"/>
    <w:rsid w:val="0003616B"/>
    <w:rsid w:val="00042442"/>
    <w:rsid w:val="00051B34"/>
    <w:rsid w:val="000530A9"/>
    <w:rsid w:val="00053C09"/>
    <w:rsid w:val="00075CFF"/>
    <w:rsid w:val="00076193"/>
    <w:rsid w:val="00076661"/>
    <w:rsid w:val="00083A01"/>
    <w:rsid w:val="0008739C"/>
    <w:rsid w:val="00092345"/>
    <w:rsid w:val="000A3DD9"/>
    <w:rsid w:val="000C4279"/>
    <w:rsid w:val="000C4D2E"/>
    <w:rsid w:val="000E6E85"/>
    <w:rsid w:val="0011000E"/>
    <w:rsid w:val="00111B04"/>
    <w:rsid w:val="00136E10"/>
    <w:rsid w:val="001425D0"/>
    <w:rsid w:val="00142856"/>
    <w:rsid w:val="00157D2D"/>
    <w:rsid w:val="00167D98"/>
    <w:rsid w:val="001749D2"/>
    <w:rsid w:val="001913E9"/>
    <w:rsid w:val="00196204"/>
    <w:rsid w:val="001A517C"/>
    <w:rsid w:val="001A5A24"/>
    <w:rsid w:val="001C384D"/>
    <w:rsid w:val="001C4387"/>
    <w:rsid w:val="001F466F"/>
    <w:rsid w:val="001F6039"/>
    <w:rsid w:val="002115D5"/>
    <w:rsid w:val="00231F69"/>
    <w:rsid w:val="002341EF"/>
    <w:rsid w:val="00261BE1"/>
    <w:rsid w:val="00263FBC"/>
    <w:rsid w:val="00285B5D"/>
    <w:rsid w:val="002B4183"/>
    <w:rsid w:val="002C0DC4"/>
    <w:rsid w:val="002D7D24"/>
    <w:rsid w:val="002E6725"/>
    <w:rsid w:val="00311BE2"/>
    <w:rsid w:val="00317CE5"/>
    <w:rsid w:val="00322850"/>
    <w:rsid w:val="003303B7"/>
    <w:rsid w:val="00334D83"/>
    <w:rsid w:val="00342AAA"/>
    <w:rsid w:val="00363275"/>
    <w:rsid w:val="00372598"/>
    <w:rsid w:val="00373CF5"/>
    <w:rsid w:val="003A5F7F"/>
    <w:rsid w:val="003D28A0"/>
    <w:rsid w:val="003D7BCE"/>
    <w:rsid w:val="0041422B"/>
    <w:rsid w:val="004219A4"/>
    <w:rsid w:val="00446227"/>
    <w:rsid w:val="00453F85"/>
    <w:rsid w:val="0046400C"/>
    <w:rsid w:val="00465291"/>
    <w:rsid w:val="00476821"/>
    <w:rsid w:val="004B1245"/>
    <w:rsid w:val="004D461F"/>
    <w:rsid w:val="004E4338"/>
    <w:rsid w:val="004E57D2"/>
    <w:rsid w:val="004E669F"/>
    <w:rsid w:val="004F588B"/>
    <w:rsid w:val="0052717E"/>
    <w:rsid w:val="00546B41"/>
    <w:rsid w:val="00553859"/>
    <w:rsid w:val="005641CA"/>
    <w:rsid w:val="00586C3E"/>
    <w:rsid w:val="005A0696"/>
    <w:rsid w:val="005A194F"/>
    <w:rsid w:val="005A30AC"/>
    <w:rsid w:val="005A7779"/>
    <w:rsid w:val="005B2106"/>
    <w:rsid w:val="005C0CE0"/>
    <w:rsid w:val="005C5CF0"/>
    <w:rsid w:val="005C600C"/>
    <w:rsid w:val="005C72A9"/>
    <w:rsid w:val="005D096E"/>
    <w:rsid w:val="005F49AA"/>
    <w:rsid w:val="005F4F2F"/>
    <w:rsid w:val="00616D19"/>
    <w:rsid w:val="00621366"/>
    <w:rsid w:val="00622206"/>
    <w:rsid w:val="00640FAB"/>
    <w:rsid w:val="0066104B"/>
    <w:rsid w:val="00664A01"/>
    <w:rsid w:val="0067013E"/>
    <w:rsid w:val="006720A4"/>
    <w:rsid w:val="00672B5A"/>
    <w:rsid w:val="00685738"/>
    <w:rsid w:val="0069026C"/>
    <w:rsid w:val="0069311F"/>
    <w:rsid w:val="00697E6C"/>
    <w:rsid w:val="006A46D8"/>
    <w:rsid w:val="006A7F82"/>
    <w:rsid w:val="006B4E3B"/>
    <w:rsid w:val="006B7C04"/>
    <w:rsid w:val="006C14BC"/>
    <w:rsid w:val="006D08E9"/>
    <w:rsid w:val="006E64BD"/>
    <w:rsid w:val="007060B2"/>
    <w:rsid w:val="00712553"/>
    <w:rsid w:val="007456C4"/>
    <w:rsid w:val="00752A39"/>
    <w:rsid w:val="007718E5"/>
    <w:rsid w:val="007921C6"/>
    <w:rsid w:val="007A3A1A"/>
    <w:rsid w:val="007A68F8"/>
    <w:rsid w:val="007D2990"/>
    <w:rsid w:val="007D2DBA"/>
    <w:rsid w:val="007E3432"/>
    <w:rsid w:val="007E79DC"/>
    <w:rsid w:val="007F2278"/>
    <w:rsid w:val="00800D2D"/>
    <w:rsid w:val="0081141E"/>
    <w:rsid w:val="00830A2C"/>
    <w:rsid w:val="00832953"/>
    <w:rsid w:val="00834586"/>
    <w:rsid w:val="0084756C"/>
    <w:rsid w:val="00855A3E"/>
    <w:rsid w:val="00864B58"/>
    <w:rsid w:val="008712FF"/>
    <w:rsid w:val="00871D03"/>
    <w:rsid w:val="008733B4"/>
    <w:rsid w:val="00874697"/>
    <w:rsid w:val="008751E1"/>
    <w:rsid w:val="0087522D"/>
    <w:rsid w:val="00876167"/>
    <w:rsid w:val="00883E48"/>
    <w:rsid w:val="008B5EFF"/>
    <w:rsid w:val="008C1376"/>
    <w:rsid w:val="008C1442"/>
    <w:rsid w:val="008E4FB7"/>
    <w:rsid w:val="00900F53"/>
    <w:rsid w:val="0090756A"/>
    <w:rsid w:val="009105D0"/>
    <w:rsid w:val="00911E8C"/>
    <w:rsid w:val="009356D2"/>
    <w:rsid w:val="0094512A"/>
    <w:rsid w:val="0094659D"/>
    <w:rsid w:val="00953B8D"/>
    <w:rsid w:val="0095603A"/>
    <w:rsid w:val="009564F5"/>
    <w:rsid w:val="00963DC5"/>
    <w:rsid w:val="00966C51"/>
    <w:rsid w:val="00977FC2"/>
    <w:rsid w:val="009830A2"/>
    <w:rsid w:val="00985969"/>
    <w:rsid w:val="009909DE"/>
    <w:rsid w:val="0099267B"/>
    <w:rsid w:val="009935F2"/>
    <w:rsid w:val="009976C4"/>
    <w:rsid w:val="009A6014"/>
    <w:rsid w:val="009B646D"/>
    <w:rsid w:val="009B658E"/>
    <w:rsid w:val="009E7D0D"/>
    <w:rsid w:val="00A1378B"/>
    <w:rsid w:val="00A43885"/>
    <w:rsid w:val="00A44D6E"/>
    <w:rsid w:val="00A71BC6"/>
    <w:rsid w:val="00A763C1"/>
    <w:rsid w:val="00A90612"/>
    <w:rsid w:val="00AA4C1C"/>
    <w:rsid w:val="00AA4FB8"/>
    <w:rsid w:val="00AC0DD4"/>
    <w:rsid w:val="00AC4F90"/>
    <w:rsid w:val="00AC669D"/>
    <w:rsid w:val="00AD107E"/>
    <w:rsid w:val="00AD66B2"/>
    <w:rsid w:val="00AE74B8"/>
    <w:rsid w:val="00AF7401"/>
    <w:rsid w:val="00B03B79"/>
    <w:rsid w:val="00B04F6E"/>
    <w:rsid w:val="00B078C6"/>
    <w:rsid w:val="00B171D4"/>
    <w:rsid w:val="00B2574C"/>
    <w:rsid w:val="00B3207E"/>
    <w:rsid w:val="00B55A81"/>
    <w:rsid w:val="00B64C1B"/>
    <w:rsid w:val="00B80ED0"/>
    <w:rsid w:val="00B814E9"/>
    <w:rsid w:val="00B875DE"/>
    <w:rsid w:val="00BA359D"/>
    <w:rsid w:val="00BD578F"/>
    <w:rsid w:val="00BE2087"/>
    <w:rsid w:val="00BE3502"/>
    <w:rsid w:val="00BE52EA"/>
    <w:rsid w:val="00BE614D"/>
    <w:rsid w:val="00C038D7"/>
    <w:rsid w:val="00C061A7"/>
    <w:rsid w:val="00C17E05"/>
    <w:rsid w:val="00C640D2"/>
    <w:rsid w:val="00C802D6"/>
    <w:rsid w:val="00C80CE3"/>
    <w:rsid w:val="00C95499"/>
    <w:rsid w:val="00C97857"/>
    <w:rsid w:val="00CB085E"/>
    <w:rsid w:val="00CB5383"/>
    <w:rsid w:val="00CE6EB3"/>
    <w:rsid w:val="00CF58BF"/>
    <w:rsid w:val="00D0538F"/>
    <w:rsid w:val="00D207AF"/>
    <w:rsid w:val="00D33E52"/>
    <w:rsid w:val="00D45CDA"/>
    <w:rsid w:val="00D62B87"/>
    <w:rsid w:val="00D74F3B"/>
    <w:rsid w:val="00D92DA0"/>
    <w:rsid w:val="00D97175"/>
    <w:rsid w:val="00DB6E36"/>
    <w:rsid w:val="00DB75C5"/>
    <w:rsid w:val="00DB75E6"/>
    <w:rsid w:val="00DC504D"/>
    <w:rsid w:val="00DD77C9"/>
    <w:rsid w:val="00E23E03"/>
    <w:rsid w:val="00E32870"/>
    <w:rsid w:val="00E5095A"/>
    <w:rsid w:val="00E51C27"/>
    <w:rsid w:val="00E56BDC"/>
    <w:rsid w:val="00E748F0"/>
    <w:rsid w:val="00EA2D92"/>
    <w:rsid w:val="00EA65FE"/>
    <w:rsid w:val="00EC7856"/>
    <w:rsid w:val="00EE05FD"/>
    <w:rsid w:val="00EE7288"/>
    <w:rsid w:val="00F04E2E"/>
    <w:rsid w:val="00F0694C"/>
    <w:rsid w:val="00F07883"/>
    <w:rsid w:val="00F121EE"/>
    <w:rsid w:val="00F303EF"/>
    <w:rsid w:val="00F56E7B"/>
    <w:rsid w:val="00F65649"/>
    <w:rsid w:val="00F72312"/>
    <w:rsid w:val="00F867A8"/>
    <w:rsid w:val="00FA72F8"/>
    <w:rsid w:val="00FB2F27"/>
    <w:rsid w:val="00FB330F"/>
    <w:rsid w:val="00FB590D"/>
    <w:rsid w:val="00FB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1CDD"/>
  <w15:docId w15:val="{5D2DE6F1-58C5-464D-968D-5979C34B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1A2"/>
  </w:style>
  <w:style w:type="paragraph" w:styleId="Heading1">
    <w:name w:val="heading 1"/>
    <w:basedOn w:val="Normal"/>
    <w:next w:val="Normal"/>
    <w:link w:val="Heading1Char"/>
    <w:qFormat/>
    <w:rsid w:val="002721A2"/>
    <w:pPr>
      <w:keepNext/>
      <w:jc w:val="center"/>
      <w:outlineLvl w:val="0"/>
    </w:pPr>
    <w:rPr>
      <w:rFonts w:ascii="VNI-Times" w:hAnsi="VNI-Times"/>
      <w:b/>
      <w:sz w:val="24"/>
      <w:szCs w:val="20"/>
    </w:rPr>
  </w:style>
  <w:style w:type="paragraph" w:styleId="Heading2">
    <w:name w:val="heading 2"/>
    <w:basedOn w:val="Normal"/>
    <w:next w:val="Normal"/>
    <w:link w:val="Heading2Char"/>
    <w:uiPriority w:val="9"/>
    <w:unhideWhenUsed/>
    <w:qFormat/>
    <w:rsid w:val="002721A2"/>
    <w:pPr>
      <w:keepNext/>
      <w:jc w:val="center"/>
      <w:outlineLvl w:val="1"/>
    </w:pPr>
    <w:rPr>
      <w:rFonts w:ascii="VNI-Times" w:hAnsi="VNI-Times"/>
      <w:sz w:val="24"/>
      <w:szCs w:val="20"/>
    </w:rPr>
  </w:style>
  <w:style w:type="paragraph" w:styleId="Heading3">
    <w:name w:val="heading 3"/>
    <w:basedOn w:val="Normal"/>
    <w:next w:val="Normal"/>
    <w:link w:val="Heading3Char"/>
    <w:uiPriority w:val="9"/>
    <w:unhideWhenUsed/>
    <w:qFormat/>
    <w:rsid w:val="002721A2"/>
    <w:pPr>
      <w:keepNext/>
      <w:jc w:val="right"/>
      <w:outlineLvl w:val="2"/>
    </w:pPr>
    <w:rPr>
      <w:rFonts w:ascii="VNI-Times" w:hAnsi="VNI-Times"/>
      <w:i/>
      <w:sz w:val="24"/>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qFormat/>
    <w:rsid w:val="002721A2"/>
    <w:pPr>
      <w:keepNext/>
      <w:jc w:val="center"/>
      <w:outlineLvl w:val="8"/>
    </w:pPr>
    <w:rPr>
      <w:rFonts w:ascii="VNI-Times" w:hAnsi="VNI-Times"/>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721A2"/>
    <w:rPr>
      <w:rFonts w:ascii="VNI-Times" w:eastAsia="Times New Roman" w:hAnsi="VNI-Times" w:cs="Times New Roman"/>
      <w:b/>
      <w:sz w:val="24"/>
      <w:szCs w:val="20"/>
    </w:rPr>
  </w:style>
  <w:style w:type="character" w:customStyle="1" w:styleId="Heading2Char">
    <w:name w:val="Heading 2 Char"/>
    <w:basedOn w:val="DefaultParagraphFont"/>
    <w:link w:val="Heading2"/>
    <w:rsid w:val="002721A2"/>
    <w:rPr>
      <w:rFonts w:ascii="VNI-Times" w:eastAsia="Times New Roman" w:hAnsi="VNI-Times" w:cs="Times New Roman"/>
      <w:sz w:val="24"/>
      <w:szCs w:val="20"/>
    </w:rPr>
  </w:style>
  <w:style w:type="character" w:customStyle="1" w:styleId="Heading3Char">
    <w:name w:val="Heading 3 Char"/>
    <w:basedOn w:val="DefaultParagraphFont"/>
    <w:link w:val="Heading3"/>
    <w:rsid w:val="002721A2"/>
    <w:rPr>
      <w:rFonts w:ascii="VNI-Times" w:eastAsia="Times New Roman" w:hAnsi="VNI-Times" w:cs="Times New Roman"/>
      <w:i/>
      <w:sz w:val="24"/>
      <w:szCs w:val="20"/>
    </w:rPr>
  </w:style>
  <w:style w:type="character" w:customStyle="1" w:styleId="Heading9Char">
    <w:name w:val="Heading 9 Char"/>
    <w:basedOn w:val="DefaultParagraphFont"/>
    <w:link w:val="Heading9"/>
    <w:rsid w:val="002721A2"/>
    <w:rPr>
      <w:rFonts w:ascii="VNI-Times" w:eastAsia="Times New Roman" w:hAnsi="VNI-Times" w:cs="Times New Roman"/>
      <w:b/>
      <w:sz w:val="26"/>
      <w:szCs w:val="20"/>
    </w:rPr>
  </w:style>
  <w:style w:type="paragraph" w:styleId="BodyText2">
    <w:name w:val="Body Text 2"/>
    <w:basedOn w:val="Normal"/>
    <w:link w:val="BodyText2Char"/>
    <w:uiPriority w:val="99"/>
    <w:unhideWhenUsed/>
    <w:rsid w:val="002721A2"/>
    <w:pPr>
      <w:spacing w:after="120" w:line="480" w:lineRule="auto"/>
    </w:pPr>
  </w:style>
  <w:style w:type="character" w:customStyle="1" w:styleId="BodyText2Char">
    <w:name w:val="Body Text 2 Char"/>
    <w:basedOn w:val="DefaultParagraphFont"/>
    <w:link w:val="BodyText2"/>
    <w:uiPriority w:val="99"/>
    <w:rsid w:val="002721A2"/>
    <w:rPr>
      <w:rFonts w:ascii="Times New Roman" w:eastAsia="Times New Roman" w:hAnsi="Times New Roman" w:cs="Times New Roman"/>
      <w:sz w:val="28"/>
      <w:szCs w:val="28"/>
    </w:rPr>
  </w:style>
  <w:style w:type="paragraph" w:styleId="NormalWeb">
    <w:name w:val="Normal (Web)"/>
    <w:basedOn w:val="Normal"/>
    <w:link w:val="NormalWebChar"/>
    <w:unhideWhenUsed/>
    <w:rsid w:val="002721A2"/>
    <w:pPr>
      <w:spacing w:before="100" w:beforeAutospacing="1" w:after="100" w:afterAutospacing="1"/>
    </w:pPr>
    <w:rPr>
      <w:sz w:val="24"/>
      <w:szCs w:val="24"/>
    </w:rPr>
  </w:style>
  <w:style w:type="paragraph" w:styleId="Footer">
    <w:name w:val="footer"/>
    <w:basedOn w:val="Normal"/>
    <w:link w:val="FooterChar"/>
    <w:uiPriority w:val="99"/>
    <w:unhideWhenUsed/>
    <w:rsid w:val="002721A2"/>
    <w:pPr>
      <w:tabs>
        <w:tab w:val="center" w:pos="4680"/>
        <w:tab w:val="right" w:pos="9360"/>
      </w:tabs>
    </w:pPr>
  </w:style>
  <w:style w:type="character" w:customStyle="1" w:styleId="FooterChar">
    <w:name w:val="Footer Char"/>
    <w:basedOn w:val="DefaultParagraphFont"/>
    <w:link w:val="Footer"/>
    <w:uiPriority w:val="99"/>
    <w:rsid w:val="002721A2"/>
    <w:rPr>
      <w:rFonts w:ascii="Times New Roman" w:eastAsia="Times New Roman" w:hAnsi="Times New Roman" w:cs="Times New Roman"/>
      <w:sz w:val="28"/>
      <w:szCs w:val="28"/>
    </w:rPr>
  </w:style>
  <w:style w:type="paragraph" w:styleId="BodyText">
    <w:name w:val="Body Text"/>
    <w:basedOn w:val="Normal"/>
    <w:link w:val="BodyTextChar"/>
    <w:uiPriority w:val="99"/>
    <w:unhideWhenUsed/>
    <w:rsid w:val="00052444"/>
    <w:pPr>
      <w:spacing w:after="120"/>
    </w:pPr>
  </w:style>
  <w:style w:type="character" w:customStyle="1" w:styleId="BodyTextChar">
    <w:name w:val="Body Text Char"/>
    <w:basedOn w:val="DefaultParagraphFont"/>
    <w:link w:val="BodyText"/>
    <w:uiPriority w:val="99"/>
    <w:rsid w:val="00052444"/>
    <w:rPr>
      <w:rFonts w:ascii="Times New Roman" w:eastAsia="Times New Roman" w:hAnsi="Times New Roman" w:cs="Times New Roman"/>
      <w:sz w:val="28"/>
      <w:szCs w:val="28"/>
    </w:rPr>
  </w:style>
  <w:style w:type="paragraph" w:styleId="BodyTextIndent">
    <w:name w:val="Body Text Indent"/>
    <w:basedOn w:val="Normal"/>
    <w:link w:val="BodyTextIndentChar"/>
    <w:uiPriority w:val="99"/>
    <w:unhideWhenUsed/>
    <w:rsid w:val="003354A6"/>
    <w:pPr>
      <w:spacing w:after="120"/>
      <w:ind w:left="360"/>
    </w:pPr>
  </w:style>
  <w:style w:type="character" w:customStyle="1" w:styleId="BodyTextIndentChar">
    <w:name w:val="Body Text Indent Char"/>
    <w:basedOn w:val="DefaultParagraphFont"/>
    <w:link w:val="BodyTextIndent"/>
    <w:uiPriority w:val="99"/>
    <w:rsid w:val="003354A6"/>
    <w:rPr>
      <w:rFonts w:ascii="Times New Roman" w:eastAsia="Times New Roman" w:hAnsi="Times New Roman" w:cs="Times New Roman"/>
      <w:sz w:val="28"/>
      <w:szCs w:val="28"/>
    </w:rPr>
  </w:style>
  <w:style w:type="paragraph" w:styleId="ListParagraph">
    <w:name w:val="List Paragraph"/>
    <w:basedOn w:val="Normal"/>
    <w:link w:val="ListParagraphChar"/>
    <w:uiPriority w:val="1"/>
    <w:qFormat/>
    <w:rsid w:val="002976AD"/>
    <w:pPr>
      <w:ind w:left="720"/>
      <w:contextualSpacing/>
    </w:pPr>
  </w:style>
  <w:style w:type="paragraph" w:styleId="Header">
    <w:name w:val="header"/>
    <w:basedOn w:val="Normal"/>
    <w:link w:val="HeaderChar"/>
    <w:uiPriority w:val="99"/>
    <w:unhideWhenUsed/>
    <w:rsid w:val="0031766D"/>
    <w:pPr>
      <w:tabs>
        <w:tab w:val="center" w:pos="4680"/>
        <w:tab w:val="right" w:pos="9360"/>
      </w:tabs>
    </w:pPr>
  </w:style>
  <w:style w:type="character" w:customStyle="1" w:styleId="HeaderChar">
    <w:name w:val="Header Char"/>
    <w:basedOn w:val="DefaultParagraphFont"/>
    <w:link w:val="Header"/>
    <w:uiPriority w:val="99"/>
    <w:rsid w:val="0031766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C3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C08"/>
    <w:rPr>
      <w:rFonts w:ascii="Segoe UI" w:eastAsia="Times New Roman" w:hAnsi="Segoe UI" w:cs="Segoe UI"/>
      <w:sz w:val="18"/>
      <w:szCs w:val="18"/>
    </w:rPr>
  </w:style>
  <w:style w:type="character" w:customStyle="1" w:styleId="NormalWebChar">
    <w:name w:val="Normal (Web) Char"/>
    <w:link w:val="NormalWeb"/>
    <w:rsid w:val="001E3C5F"/>
    <w:rPr>
      <w:rFonts w:ascii="Times New Roman" w:eastAsia="Times New Roman" w:hAnsi="Times New Roman" w:cs="Times New Roman"/>
      <w:sz w:val="24"/>
      <w:szCs w:val="24"/>
    </w:rPr>
  </w:style>
  <w:style w:type="paragraph" w:customStyle="1" w:styleId="05NidungVB">
    <w:name w:val="05 Nội dung VB"/>
    <w:basedOn w:val="Normal"/>
    <w:link w:val="05NidungVBChar"/>
    <w:rsid w:val="001E3C5F"/>
    <w:pPr>
      <w:widowControl w:val="0"/>
      <w:spacing w:after="120" w:line="400" w:lineRule="atLeast"/>
      <w:ind w:firstLine="567"/>
      <w:jc w:val="both"/>
    </w:pPr>
    <w:rPr>
      <w:lang w:val="x-none" w:eastAsia="x-none"/>
    </w:rPr>
  </w:style>
  <w:style w:type="character" w:customStyle="1" w:styleId="05NidungVBChar">
    <w:name w:val="05 Nội dung VB Char"/>
    <w:link w:val="05NidungVB"/>
    <w:rsid w:val="001E3C5F"/>
    <w:rPr>
      <w:rFonts w:ascii="Times New Roman" w:eastAsia="Times New Roman" w:hAnsi="Times New Roman" w:cs="Times New Roman"/>
      <w:sz w:val="28"/>
      <w:szCs w:val="28"/>
      <w:lang w:val="x-none" w:eastAsia="x-none"/>
    </w:rPr>
  </w:style>
  <w:style w:type="paragraph" w:styleId="BodyTextIndent3">
    <w:name w:val="Body Text Indent 3"/>
    <w:basedOn w:val="Normal"/>
    <w:link w:val="BodyTextIndent3Char"/>
    <w:uiPriority w:val="99"/>
    <w:semiHidden/>
    <w:unhideWhenUsed/>
    <w:rsid w:val="000969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699F"/>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4460A9"/>
    <w:rPr>
      <w:sz w:val="20"/>
      <w:szCs w:val="20"/>
    </w:rPr>
  </w:style>
  <w:style w:type="character" w:customStyle="1" w:styleId="FootnoteTextChar">
    <w:name w:val="Footnote Text Char"/>
    <w:basedOn w:val="DefaultParagraphFont"/>
    <w:link w:val="FootnoteText"/>
    <w:uiPriority w:val="99"/>
    <w:rsid w:val="004460A9"/>
    <w:rPr>
      <w:rFonts w:ascii="Times New Roman" w:eastAsia="Times New Roman" w:hAnsi="Times New Roman" w:cs="Times New Roman"/>
      <w:sz w:val="20"/>
      <w:szCs w:val="20"/>
    </w:rPr>
  </w:style>
  <w:style w:type="character" w:styleId="FootnoteReference">
    <w:name w:val="footnote reference"/>
    <w:uiPriority w:val="99"/>
    <w:rsid w:val="004460A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CommentSubjectChar">
    <w:name w:val="Comment Subject Char"/>
    <w:rsid w:val="00883E48"/>
    <w:rPr>
      <w:b/>
      <w:bCs/>
      <w:w w:val="100"/>
      <w:position w:val="-1"/>
      <w:effect w:val="none"/>
      <w:vertAlign w:val="baseline"/>
      <w:cs w:val="0"/>
      <w:em w:val="none"/>
    </w:rPr>
  </w:style>
  <w:style w:type="character" w:customStyle="1" w:styleId="ListParagraphChar">
    <w:name w:val="List Paragraph Char"/>
    <w:link w:val="ListParagraph"/>
    <w:uiPriority w:val="1"/>
    <w:rsid w:val="000C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IhWE2iHt0+FAezAPIGKXY6Plag==">AMUW2mXd9j80hrF1eY+Yn1bO9zWgY4wm9RpOUWnfvIETIHB57O+fDK2ODogc6fgN8K2bJus3vg5XJJVse4f7MZNJdlekclPGP7saSg+CYoETeDxEPIiPYBnfj3GtOGn9M3MBOvt5+3rDf+pV+ZVPrqYRyjkNspMEBQ==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1CFA5C-556C-4BE4-97A8-C375FA45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 Thi Khanh Linh</cp:lastModifiedBy>
  <cp:revision>513</cp:revision>
  <dcterms:created xsi:type="dcterms:W3CDTF">2022-06-06T04:04:00Z</dcterms:created>
  <dcterms:modified xsi:type="dcterms:W3CDTF">2024-10-18T05:22:00Z</dcterms:modified>
</cp:coreProperties>
</file>